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France</w:t>
      </w:r>
      <w:r>
        <w:t xml:space="preserve"> </w:t>
      </w:r>
      <w:r>
        <w:t xml:space="preserve">Paris</w:t>
      </w:r>
    </w:p>
    <w:bookmarkStart w:id="27" w:name="X25174756faccd0a56e65fc92d9e440f256b86c1"/>
    <w:p>
      <w:pPr>
        <w:pStyle w:val="Heading1"/>
      </w:pPr>
      <w:r>
        <w:t xml:space="preserve">Q3 2023 SALES REPORT: BUSINESS CONSULTANT PERFORMANCE IN FRANCE PARIS</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across France Paris during Q3 2023. As a premier strategic advisory firm, we have witnessed remarkable growth in client acquisition and revenue generation specifically within the Parisian business ecosystem. Our dedicated Business Consultant team has successfully navigated France's complex economic landscape, delivering tailored solutions that align with the unique demands of French enterprises operating from Paris. This report underscores a 22% year-over-year increase in qualified leads and a 17% expansion in retained client contracts, affirming our strategic position as the preferred Business Consultant for growth-oriented firms headquartered in France Paris.</w:t>
      </w:r>
    </w:p>
    <w:bookmarkEnd w:id="20"/>
    <w:bookmarkStart w:id="21" w:name="X4544f19402c27037c11e7c8a295a28bdab95d98"/>
    <w:p>
      <w:pPr>
        <w:pStyle w:val="Heading2"/>
      </w:pPr>
      <w:r>
        <w:t xml:space="preserve">Market Analysis: France Paris Economic Context</w:t>
      </w:r>
    </w:p>
    <w:p>
      <w:pPr>
        <w:pStyle w:val="FirstParagraph"/>
      </w:pPr>
      <w:r>
        <w:t xml:space="preserve">Paris remains the undisputed economic heart of France, hosting over 50% of Fortune 500 European headquarters and serving as a global hub for luxury goods, fintech innovation, and sustainable business development. The French government’s recent focus on "France Relance" initiatives has created heightened demand for specialized Business Consultant expertise in digital transformation (42% of Parisian SMEs), ESG compliance (38% growth in client inquiries), and EU market expansion strategies. Our Q3 data reveals that 68% of new engagements originated from clients based within the Île-de-France region, with Paris city center accounting for 52% of all project initiations. This underscores the critical importance of localized expertise—our Business Consultant professionals demonstrate deep knowledge of Parisian business culture, including French regulatory frameworks (such as GDPR implementation protocols) and sector-specific challenges in industries like luxury retail, aerospace (Airbus), and biotech innovation centers.</w:t>
      </w:r>
    </w:p>
    <w:bookmarkEnd w:id="21"/>
    <w:bookmarkStart w:id="22" w:name="sales-performance-highlights"/>
    <w:p>
      <w:pPr>
        <w:pStyle w:val="Heading2"/>
      </w:pPr>
      <w:r>
        <w:t xml:space="preserve">Sales Performance Highlights</w:t>
      </w:r>
    </w:p>
    <w:p>
      <w:pPr>
        <w:pStyle w:val="FirstParagraph"/>
      </w:pPr>
      <w:r>
        <w:t xml:space="preserve">Our France Paris Business Consultant division achieved record quarterly performance through three key strategic pillars:</w:t>
      </w:r>
    </w:p>
    <w:p>
      <w:pPr>
        <w:numPr>
          <w:ilvl w:val="0"/>
          <w:numId w:val="1001"/>
        </w:numPr>
        <w:pStyle w:val="Compact"/>
      </w:pPr>
      <w:r>
        <w:rPr>
          <w:bCs/>
          <w:b/>
        </w:rPr>
        <w:t xml:space="preserve">Client Acquisition Strategy:</w:t>
      </w:r>
      <w:r>
        <w:t xml:space="preserve"> </w:t>
      </w:r>
      <w:r>
        <w:t xml:space="preserve">Implemented hyper-targeted outreach to Parisian chambers of commerce (including the CCI Paris-IDF) and industry-specific events like "Paris Digital Week," generating 127 qualified leads. This resulted in a 35% increase in new client onboarding compared to Q2.</w:t>
      </w:r>
    </w:p>
    <w:p>
      <w:pPr>
        <w:numPr>
          <w:ilvl w:val="0"/>
          <w:numId w:val="1001"/>
        </w:numPr>
        <w:pStyle w:val="Compact"/>
      </w:pPr>
      <w:r>
        <w:rPr>
          <w:bCs/>
          <w:b/>
        </w:rPr>
        <w:t xml:space="preserve">Service Portfolio Adoption:</w:t>
      </w:r>
      <w:r>
        <w:t xml:space="preserve"> </w:t>
      </w:r>
      <w:r>
        <w:t xml:space="preserve">The "Paris Growth Accelerator" suite (comprising market entry strategy, leadership development, and Paris-specific supply chain optimization) captured 78% of all new contracts. Notable wins include a €1.8M engagement with a luxury fashion house headquartered in Le Marais for ESG integration into their French manufacturing operations.</w:t>
      </w:r>
    </w:p>
    <w:p>
      <w:pPr>
        <w:numPr>
          <w:ilvl w:val="0"/>
          <w:numId w:val="1001"/>
        </w:numPr>
        <w:pStyle w:val="Compact"/>
      </w:pPr>
      <w:r>
        <w:rPr>
          <w:bCs/>
          <w:b/>
        </w:rPr>
        <w:t xml:space="preserve">Client Retention Excellence:</w:t>
      </w:r>
      <w:r>
        <w:t xml:space="preserve"> </w:t>
      </w:r>
      <w:r>
        <w:t xml:space="preserve">Achieved a 92% retention rate through our "Paris Partnership Program," offering quarterly strategic workshops at iconic venues like the Eiffel Tower Innovation Hub. This program directly addresses Parisian clients' preference for relationship-centric consulting—73% of retained clients cited "personalized French business culture alignment" as their primary satisfaction driver.</w:t>
      </w:r>
    </w:p>
    <w:bookmarkEnd w:id="22"/>
    <w:bookmarkStart w:id="23" w:name="key-client-success-stories"/>
    <w:p>
      <w:pPr>
        <w:pStyle w:val="Heading2"/>
      </w:pPr>
      <w:r>
        <w:t xml:space="preserve">Key Client Success Stories</w:t>
      </w:r>
    </w:p>
    <w:p>
      <w:pPr>
        <w:pStyle w:val="FirstParagraph"/>
      </w:pPr>
      <w:r>
        <w:rPr>
          <w:iCs/>
          <w:i/>
        </w:rPr>
        <w:t xml:space="preserve">Case Study 1: Luxury Retail Transformation (Paris HQ)</w:t>
      </w:r>
    </w:p>
    <w:p>
      <w:pPr>
        <w:pStyle w:val="BodyText"/>
      </w:pPr>
      <w:r>
        <w:t xml:space="preserve">A renowned Paris-based luxury conglomerate engaged our Business Consultant team to restructure its French distribution network amid rising import regulations. Our France Paris-focused strategy reduced operational costs by 27% within six months while ensuring full compliance with French commercial law. The client now refers us as "the only Business Consultant who truly understands the nuances of selling in France Paris."</w:t>
      </w:r>
    </w:p>
    <w:p>
      <w:pPr>
        <w:pStyle w:val="BodyText"/>
      </w:pPr>
      <w:r>
        <w:rPr>
          <w:iCs/>
          <w:i/>
        </w:rPr>
        <w:t xml:space="preserve">Case Study 2: Tech Startup Scaling (La Défense)</w:t>
      </w:r>
    </w:p>
    <w:p>
      <w:pPr>
        <w:pStyle w:val="BodyText"/>
      </w:pPr>
      <w:r>
        <w:t xml:space="preserve">Our Business Consultant delivered a Paris-specific market entry blueprint for a German SaaS startup targeting French enterprise clients. By leveraging our deep network within La Défense’s tech ecosystem and local regulatory insights, we secured 14 high-value contracts in Q3 alone—exceeding the client’s revenue targets by 41%.</w:t>
      </w:r>
    </w:p>
    <w:bookmarkEnd w:id="23"/>
    <w:bookmarkStart w:id="24" w:name="challenges-strategic-solutions"/>
    <w:p>
      <w:pPr>
        <w:pStyle w:val="Heading2"/>
      </w:pPr>
      <w:r>
        <w:t xml:space="preserve">Challenges &amp; Strategic Solutions</w:t>
      </w:r>
    </w:p>
    <w:p>
      <w:pPr>
        <w:pStyle w:val="FirstParagraph"/>
      </w:pPr>
      <w:r>
        <w:t xml:space="preserve">Despite strong performance, two challenges emerged requiring agile Business Consultant intervention:</w:t>
      </w:r>
    </w:p>
    <w:p>
      <w:pPr>
        <w:numPr>
          <w:ilvl w:val="0"/>
          <w:numId w:val="1002"/>
        </w:numPr>
        <w:pStyle w:val="Compact"/>
      </w:pPr>
      <w:r>
        <w:rPr>
          <w:bCs/>
          <w:b/>
        </w:rPr>
        <w:t xml:space="preserve">Cultural Alignment in Client Onboarding:</w:t>
      </w:r>
      <w:r>
        <w:t xml:space="preserve"> </w:t>
      </w:r>
      <w:r>
        <w:t xml:space="preserve">Early-stage Parisian clients occasionally misperceived our international perspective as lacking local nuance. Our solution was implementing mandatory "Paris Cultural Immersion" training for all Business Consultant staff, resulting in a 30% reduction in onboarding friction and stronger trust signals during initial engagements.</w:t>
      </w:r>
    </w:p>
    <w:p>
      <w:pPr>
        <w:numPr>
          <w:ilvl w:val="0"/>
          <w:numId w:val="1002"/>
        </w:numPr>
        <w:pStyle w:val="Compact"/>
      </w:pPr>
      <w:r>
        <w:rPr>
          <w:bCs/>
          <w:b/>
        </w:rPr>
        <w:t xml:space="preserve">Competitive Pressure from Local Firms:</w:t>
      </w:r>
      <w:r>
        <w:t xml:space="preserve"> </w:t>
      </w:r>
      <w:r>
        <w:t xml:space="preserve">French boutique consultancies underpriced services to attract Parisian clients. We countered by emphasizing our unique value: "A Business Consultant who combines global best practices with France Paris-specific implementation expertise"—proven through 100% of our Q3 client contracts exceeding €50K in value, outperforming local competitors' average deal sizes (€32K).</w:t>
      </w:r>
    </w:p>
    <w:bookmarkEnd w:id="24"/>
    <w:bookmarkStart w:id="25" w:name="q4-strategic-focus-for-france-paris"/>
    <w:p>
      <w:pPr>
        <w:pStyle w:val="Heading2"/>
      </w:pPr>
      <w:r>
        <w:t xml:space="preserve">Q4 Strategic Focus for France Paris</w:t>
      </w:r>
    </w:p>
    <w:p>
      <w:pPr>
        <w:pStyle w:val="FirstParagraph"/>
      </w:pPr>
      <w:r>
        <w:t xml:space="preserve">Building on Q3’s success, our Business Consultant team will prioritize three initiatives for the fourth quarter:</w:t>
      </w:r>
    </w:p>
    <w:p>
      <w:pPr>
        <w:numPr>
          <w:ilvl w:val="0"/>
          <w:numId w:val="1003"/>
        </w:numPr>
        <w:pStyle w:val="Compact"/>
      </w:pPr>
      <w:r>
        <w:rPr>
          <w:bCs/>
          <w:b/>
        </w:rPr>
        <w:t xml:space="preserve">Paris ESG Accelerator Program:</w:t>
      </w:r>
      <w:r>
        <w:t xml:space="preserve"> </w:t>
      </w:r>
      <w:r>
        <w:t xml:space="preserve">Launching a specialized offering addressing France’s new Climate Duty requirements (loi Climat), targeting Parisian firms in fashion and finance.</w:t>
      </w:r>
    </w:p>
    <w:p>
      <w:pPr>
        <w:numPr>
          <w:ilvl w:val="0"/>
          <w:numId w:val="1003"/>
        </w:numPr>
        <w:pStyle w:val="Compact"/>
      </w:pPr>
      <w:r>
        <w:rPr>
          <w:bCs/>
          <w:b/>
        </w:rPr>
        <w:t xml:space="preserve">French Government Partnership Initiative:</w:t>
      </w:r>
      <w:r>
        <w:t xml:space="preserve"> </w:t>
      </w:r>
      <w:r>
        <w:t xml:space="preserve">Formalizing collaborations with Bpifrance and Paris Investissements to co-develop innovation grants for SMEs—a direct response to the French government’s 2023 investment push.</w:t>
      </w:r>
    </w:p>
    <w:p>
      <w:pPr>
        <w:numPr>
          <w:ilvl w:val="0"/>
          <w:numId w:val="1003"/>
        </w:numPr>
        <w:pStyle w:val="Compact"/>
      </w:pPr>
      <w:r>
        <w:rPr>
          <w:bCs/>
          <w:b/>
        </w:rPr>
        <w:t xml:space="preserve">Localized Client Advisory Councils:</w:t>
      </w:r>
      <w:r>
        <w:t xml:space="preserve"> </w:t>
      </w:r>
      <w:r>
        <w:t xml:space="preserve">Establishing quarterly roundtables in Paris (at venues like Le Grand Rex) with key clients to co-design future consulting frameworks, reinforcing our commitment as their strategic Business Consultant in France Paris.</w:t>
      </w:r>
    </w:p>
    <w:bookmarkEnd w:id="25"/>
    <w:bookmarkStart w:id="26" w:name="conclusion"/>
    <w:p>
      <w:pPr>
        <w:pStyle w:val="Heading2"/>
      </w:pPr>
      <w:r>
        <w:t xml:space="preserve">Conclusion</w:t>
      </w:r>
    </w:p>
    <w:p>
      <w:pPr>
        <w:pStyle w:val="FirstParagraph"/>
      </w:pPr>
      <w:r>
        <w:t xml:space="preserve">The Q3 Sales Report confirms that our Business Consultant service is not merely successful but essential for enterprises operating within France Paris. By embedding deep local market intelligence into every engagement—understanding everything from Parisian workplace etiquette to the intricacies of French tax incentives—we have established an undeniable competitive edge. As France’s economy continues to recover with a focus on innovation and sustainability, our Business Consultant team remains uniquely positioned to guide Paris-based companies toward resilient growth. The 22% YoY revenue growth in France Paris is not just a metric; it is validation that our strategic approach resonates with the highest echelons of French business leadership. We remain committed to delivering excellence as your trusted Business Consultant in the heart of France, where strategy meets Parisian precision.</w:t>
      </w:r>
    </w:p>
    <w:p>
      <w:pPr>
        <w:pStyle w:val="BodyText"/>
      </w:pPr>
      <w:r>
        <w:rPr>
          <w:iCs/>
          <w:i/>
        </w:rPr>
        <w:t xml:space="preserve">Prepared by: Global Business Insights Division</w:t>
      </w:r>
      <w:r>
        <w:br/>
      </w:r>
      <w:r>
        <w:rPr>
          <w:iCs/>
          <w:i/>
        </w:rPr>
        <w:t xml:space="preserve">For France Paris Market Operations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Performance in France Paris</dc:title>
  <dc:creator/>
  <dc:language>en</dc:language>
  <cp:keywords/>
  <dcterms:created xsi:type="dcterms:W3CDTF">2025-12-11T17:03:16Z</dcterms:created>
  <dcterms:modified xsi:type="dcterms:W3CDTF">2025-12-11T17:03:16Z</dcterms:modified>
</cp:coreProperties>
</file>

<file path=docProps/custom.xml><?xml version="1.0" encoding="utf-8"?>
<Properties xmlns="http://schemas.openxmlformats.org/officeDocument/2006/custom-properties" xmlns:vt="http://schemas.openxmlformats.org/officeDocument/2006/docPropsVTypes"/>
</file>