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8" w:name="Xe59dbe36c767edc605b29c7f7d1e4034a7e61b7"/>
    <w:p>
      <w:pPr>
        <w:pStyle w:val="Heading1"/>
      </w:pPr>
      <w:r>
        <w:t xml:space="preserve">Annual Sales Report: Strategic Business Consulting Performance in Germany Berlin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operational and financial achievements of our Business Consultant services across Germany Berlin in 2023. As a premier business consulting firm serving the dynamic economic ecosystem of Germany Berlin, we delivered exceptional value through data-driven strategies that directly addressed market-specific challenges. Our 18% year-over-year revenue growth—surpassing industry benchmarks—underscores the critical demand for specialized Business Consultant expertise within Berlin's thriving startup and corporate landscape. This report validates our strategic positioning as the leading advisor for organizations navigating Germany Berlin's unique regulatory environment and innovation-driven economy.</w:t>
      </w:r>
    </w:p>
    <w:bookmarkEnd w:id="20"/>
    <w:bookmarkStart w:id="21" w:name="Xb42e2fd286528962859090f59edbd078c5bd93f"/>
    <w:p>
      <w:pPr>
        <w:pStyle w:val="Heading2"/>
      </w:pPr>
      <w:r>
        <w:t xml:space="preserve">II. Market Context: Why Berlin Demands Specialized Business Consulting</w:t>
      </w:r>
    </w:p>
    <w:p>
      <w:pPr>
        <w:pStyle w:val="FirstParagraph"/>
      </w:pPr>
      <w:r>
        <w:t xml:space="preserve">Germany Berlin has emerged as Europe's fastest-growing startup hub, with 1,400+ new ventures established in 2023 alone (Berlin Senate Data). This explosive growth creates complex challenges: navigating Germany’s intricate labor laws, accessing EU funding programs like Horizon Europe, and integrating sustainable practices into business models. Local enterprises increasingly recognize that generic consulting approaches fail to address Berlin-specific nuances—hence the urgent need for a dedicated Business Consultant with hyper-local market intelligence. Our 2023 sales data confirms this trend: 89% of new clients explicitly sought our Germany Berlin expertise during onboarding, citing "understanding local compliance frameworks" as their top priority.</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revenue reached €4.7M (up 18% YoY), with Berlin contributing 67% of total regional bookings. Notable deals include:</w:t>
      </w:r>
    </w:p>
    <w:p>
      <w:pPr>
        <w:numPr>
          <w:ilvl w:val="0"/>
          <w:numId w:val="1001"/>
        </w:numPr>
        <w:pStyle w:val="Compact"/>
      </w:pPr>
      <w:r>
        <w:t xml:space="preserve">A €950K engagement with a Berlin-based AI scale-up to optimize EU GDPR compliance during Series B funding.</w:t>
      </w:r>
    </w:p>
    <w:p>
      <w:pPr>
        <w:numPr>
          <w:ilvl w:val="0"/>
          <w:numId w:val="1001"/>
        </w:numPr>
        <w:pStyle w:val="Compact"/>
      </w:pPr>
      <w:r>
        <w:t xml:space="preserve">A €420K strategic restructuring project for a legacy manufacturing firm facing Berlin's sustainability mandates.</w:t>
      </w:r>
    </w:p>
    <w:p>
      <w:pPr>
        <w:pStyle w:val="FirstParagraph"/>
      </w:pPr>
      <w:r>
        <w:rPr>
          <w:bCs/>
          <w:b/>
        </w:rPr>
        <w:t xml:space="preserve">Client Acquisition:</w:t>
      </w:r>
      <w:r>
        <w:t xml:space="preserve"> </w:t>
      </w:r>
      <w:r>
        <w:t xml:space="preserve">We secured 37 new clients in Germany Berlin—a 29% increase from 2022. Key verticals included:</w:t>
      </w:r>
    </w:p>
    <w:p>
      <w:pPr>
        <w:numPr>
          <w:ilvl w:val="0"/>
          <w:numId w:val="1002"/>
        </w:numPr>
        <w:pStyle w:val="Compact"/>
      </w:pPr>
      <w:r>
        <w:t xml:space="preserve">Tech Startups (48% of new contracts)</w:t>
      </w:r>
    </w:p>
    <w:p>
      <w:pPr>
        <w:numPr>
          <w:ilvl w:val="0"/>
          <w:numId w:val="1002"/>
        </w:numPr>
        <w:pStyle w:val="Compact"/>
      </w:pPr>
      <w:r>
        <w:t xml:space="preserve">Sustainable Manufacturing (31%)</w:t>
      </w:r>
    </w:p>
    <w:p>
      <w:pPr>
        <w:pStyle w:val="FirstParagraph"/>
      </w:pPr>
      <w:r>
        <w:rPr>
          <w:bCs/>
          <w:b/>
        </w:rPr>
        <w:t xml:space="preserve">Retention &amp; Expansion:</w:t>
      </w:r>
      <w:r>
        <w:t xml:space="preserve"> </w:t>
      </w:r>
      <w:r>
        <w:t xml:space="preserve">Client retention reached 92% (vs. 86% industry average), with existing Berlin clients generating €1.8M in expansion revenue through add-on services like "Berlin Market Entry Strategy" packages.</w:t>
      </w:r>
    </w:p>
    <w:bookmarkEnd w:id="22"/>
    <w:bookmarkStart w:id="23" w:name="Xd317eeaccbb89253de66cf072bb10a84e563ebe"/>
    <w:p>
      <w:pPr>
        <w:pStyle w:val="Heading2"/>
      </w:pPr>
      <w:r>
        <w:t xml:space="preserve">IV. Berlin-Specific Value Proposition in Action</w:t>
      </w:r>
    </w:p>
    <w:p>
      <w:pPr>
        <w:pStyle w:val="FirstParagraph"/>
      </w:pPr>
      <w:r>
        <w:t xml:space="preserve">Our success stems from embedding Germany Berlin operational realities into every Business Consultant engagement. For instance:</w:t>
      </w:r>
    </w:p>
    <w:p>
      <w:pPr>
        <w:numPr>
          <w:ilvl w:val="0"/>
          <w:numId w:val="1003"/>
        </w:numPr>
        <w:pStyle w:val="Compact"/>
      </w:pPr>
      <w:r>
        <w:rPr>
          <w:bCs/>
          <w:b/>
        </w:rPr>
        <w:t xml:space="preserve">Regulatory Navigation:</w:t>
      </w:r>
      <w:r>
        <w:t xml:space="preserve"> </w:t>
      </w:r>
      <w:r>
        <w:t xml:space="preserve">Developed "Berlin Compliance Accelerator" toolkit—reducing client onboarding time by 40% for EU regulatory frameworks like the Energy Efficiency Directive (EnEV).</w:t>
      </w:r>
    </w:p>
    <w:p>
      <w:pPr>
        <w:numPr>
          <w:ilvl w:val="0"/>
          <w:numId w:val="1003"/>
        </w:numPr>
        <w:pStyle w:val="Compact"/>
      </w:pPr>
      <w:r>
        <w:rPr>
          <w:bCs/>
          <w:b/>
        </w:rPr>
        <w:t xml:space="preserve">Cultural Integration:</w:t>
      </w:r>
      <w:r>
        <w:t xml:space="preserve"> </w:t>
      </w:r>
      <w:r>
        <w:t xml:space="preserve">All Business Consultant teams undergo mandatory Berlin-specific training covering local business etiquette, labor union dynamics, and startup ecosystem nuances (e.g., navigating "Startup-Visa" requirements).</w:t>
      </w:r>
    </w:p>
    <w:bookmarkEnd w:id="23"/>
    <w:bookmarkStart w:id="24" w:name="Xdd5009920730fc83e79ee444260995831e0255d"/>
    <w:p>
      <w:pPr>
        <w:pStyle w:val="Heading2"/>
      </w:pPr>
      <w:r>
        <w:t xml:space="preserve">V. Client Testimonials: Berlin Market Validation</w:t>
      </w:r>
    </w:p>
    <w:p>
      <w:pPr>
        <w:pStyle w:val="BlockText"/>
      </w:pPr>
      <w:r>
        <w:t xml:space="preserve">"Our Business Consultant team didn't just provide generic advice—they understood Berlin's startup ecosystem intimately. Their guidance on securing €1.2M in local innovation grants was pivotal for our 2023 growth."</w:t>
      </w:r>
      <w:r>
        <w:t xml:space="preserve"> </w:t>
      </w:r>
      <w:r>
        <w:rPr>
          <w:bCs/>
          <w:b/>
        </w:rPr>
        <w:t xml:space="preserve">— Lena Müller, CEO, Quantum Robotics (Berlin)</w:t>
      </w:r>
    </w:p>
    <w:p>
      <w:pPr>
        <w:pStyle w:val="BlockText"/>
      </w:pPr>
      <w:r>
        <w:t xml:space="preserve">"In a market where compliance risks are existential, our Berlin-based Business Consultant became an extension of our leadership. They saved us €380K in potential regulatory penalties last year."</w:t>
      </w:r>
      <w:r>
        <w:t xml:space="preserve"> </w:t>
      </w:r>
      <w:r>
        <w:rPr>
          <w:bCs/>
          <w:b/>
        </w:rPr>
        <w:t xml:space="preserve">— Markus Weber, Head of Operations, GreenTech Manufacturing (Berlin)</w:t>
      </w:r>
    </w:p>
    <w:bookmarkEnd w:id="24"/>
    <w:bookmarkStart w:id="25" w:name="X7be6f8ac1b4c76b8cacd11f5ee4a204e14f6dd0"/>
    <w:p>
      <w:pPr>
        <w:pStyle w:val="Heading2"/>
      </w:pPr>
      <w:r>
        <w:t xml:space="preserve">VI. Strategic Insights from Germany Berlin</w:t>
      </w:r>
    </w:p>
    <w:p>
      <w:pPr>
        <w:pStyle w:val="FirstParagraph"/>
      </w:pPr>
      <w:r>
        <w:t xml:space="preserve">Our 2023 Sales Report reveals three transformative insights for Business Consultant practice in Berlin:</w:t>
      </w:r>
    </w:p>
    <w:p>
      <w:pPr>
        <w:numPr>
          <w:ilvl w:val="0"/>
          <w:numId w:val="1004"/>
        </w:numPr>
        <w:pStyle w:val="Compact"/>
      </w:pPr>
      <w:r>
        <w:rPr>
          <w:bCs/>
          <w:b/>
        </w:rPr>
        <w:t xml:space="preserve">The Sustainability Imperative:</w:t>
      </w:r>
      <w:r>
        <w:t xml:space="preserve"> </w:t>
      </w:r>
      <w:r>
        <w:t xml:space="preserve">76% of Berlin clients now prioritize ESG integration. Our new "Berlin Carbon Strategy" service captured €1.1M in revenue within its first six months.</w:t>
      </w:r>
    </w:p>
    <w:p>
      <w:pPr>
        <w:numPr>
          <w:ilvl w:val="0"/>
          <w:numId w:val="1004"/>
        </w:numPr>
        <w:pStyle w:val="Compact"/>
      </w:pPr>
      <w:r>
        <w:rPr>
          <w:bCs/>
          <w:b/>
        </w:rPr>
        <w:t xml:space="preserve">Hybrid Work Optimization:</w:t>
      </w:r>
      <w:r>
        <w:t xml:space="preserve"> </w:t>
      </w:r>
      <w:r>
        <w:t xml:space="preserve">Post-pandemic, Berlin firms demand flexible operational models. Our "Berlin Hybrid Efficiency Framework" reduced client productivity gaps by 33%—now a standard offering.</w:t>
      </w:r>
    </w:p>
    <w:p>
      <w:pPr>
        <w:numPr>
          <w:ilvl w:val="0"/>
          <w:numId w:val="1004"/>
        </w:numPr>
        <w:pStyle w:val="Compact"/>
      </w:pPr>
      <w:r>
        <w:rPr>
          <w:bCs/>
          <w:b/>
        </w:rPr>
        <w:t xml:space="preserve">Talent Acquisition Crisis:</w:t>
      </w:r>
      <w:r>
        <w:t xml:space="preserve"> </w:t>
      </w:r>
      <w:r>
        <w:t xml:space="preserve">With Berlin's tech talent shortage at 21% vacancy rates (Statista), our "Berlin Talent Pipeline System" became our fastest-selling service, driving 22 new contracts.</w:t>
      </w:r>
    </w:p>
    <w:bookmarkEnd w:id="25"/>
    <w:bookmarkStart w:id="26" w:name="vii.-future-roadmap-for-germany-berlin"/>
    <w:p>
      <w:pPr>
        <w:pStyle w:val="Heading2"/>
      </w:pPr>
      <w:r>
        <w:t xml:space="preserve">VII. Future Roadmap for Germany Berlin</w:t>
      </w:r>
    </w:p>
    <w:p>
      <w:pPr>
        <w:pStyle w:val="FirstParagraph"/>
      </w:pPr>
      <w:r>
        <w:t xml:space="preserve">Building on our Sales Report momentum, we are launching three Berlin-focused initiatives for 2024:</w:t>
      </w:r>
    </w:p>
    <w:p>
      <w:pPr>
        <w:numPr>
          <w:ilvl w:val="0"/>
          <w:numId w:val="1005"/>
        </w:numPr>
        <w:pStyle w:val="Compact"/>
      </w:pPr>
      <w:r>
        <w:rPr>
          <w:bCs/>
          <w:b/>
        </w:rPr>
        <w:t xml:space="preserve">EU-Germany Regulatory Hub:</w:t>
      </w:r>
      <w:r>
        <w:t xml:space="preserve"> </w:t>
      </w:r>
      <w:r>
        <w:t xml:space="preserve">Centralized platform tracking real-time legal changes affecting Berlin businesses (e.g., new AI Act implementations).</w:t>
      </w:r>
    </w:p>
    <w:p>
      <w:pPr>
        <w:numPr>
          <w:ilvl w:val="0"/>
          <w:numId w:val="1005"/>
        </w:numPr>
        <w:pStyle w:val="Compact"/>
      </w:pPr>
      <w:r>
        <w:rPr>
          <w:bCs/>
          <w:b/>
        </w:rPr>
        <w:t xml:space="preserve">Startup Accelerator Partnership:</w:t>
      </w:r>
      <w:r>
        <w:t xml:space="preserve"> </w:t>
      </w:r>
      <w:r>
        <w:t xml:space="preserve">Exclusive collaboration with Berlin's top incubators (e.g., Rocket Internet, Factory) to embed our Business Consultant services into startup onboarding.</w:t>
      </w:r>
    </w:p>
    <w:p>
      <w:pPr>
        <w:numPr>
          <w:ilvl w:val="0"/>
          <w:numId w:val="1005"/>
        </w:numPr>
        <w:pStyle w:val="Compact"/>
      </w:pPr>
      <w:r>
        <w:rPr>
          <w:bCs/>
          <w:b/>
        </w:rPr>
        <w:t xml:space="preserve">Green Economy Division:</w:t>
      </w:r>
      <w:r>
        <w:t xml:space="preserve"> </w:t>
      </w:r>
      <w:r>
        <w:t xml:space="preserve">Dedicated team specializing in Berlin's €15B renewable energy investment wave, targeting industrial clients under the EU Green Deal.</w:t>
      </w:r>
    </w:p>
    <w:bookmarkEnd w:id="26"/>
    <w:bookmarkStart w:id="27" w:name="viii.-conclusion"/>
    <w:p>
      <w:pPr>
        <w:pStyle w:val="Heading2"/>
      </w:pPr>
      <w:r>
        <w:t xml:space="preserve">VIII. Conclusion</w:t>
      </w:r>
    </w:p>
    <w:p>
      <w:pPr>
        <w:pStyle w:val="FirstParagraph"/>
      </w:pPr>
      <w:r>
        <w:t xml:space="preserve">This Sales Report unequivocally demonstrates that our Business Consultant model is perfectly calibrated for Germany Berlin's economic trajectory. By anchoring all service delivery in Berlin-specific market intelligence, regulatory expertise, and cultural fluency, we’ve transformed from a consulting provider into an indispensable growth partner for the region’s most dynamic enterprises. As Berlin continues to solidify its position as Europe’s innovation capital, our commitment to deepening Germany Berlin market specialization ensures sustained leadership. We project 22% revenue growth in 2024 through these targeted initiatives—further cementing our reputation as the preeminent Business Consultant for organizations operating at the heart of Germany Berlin's economic revolution.</w:t>
      </w:r>
    </w:p>
    <w:p>
      <w:pPr>
        <w:pStyle w:val="BodyText"/>
      </w:pPr>
      <w:r>
        <w:rPr>
          <w:bCs/>
          <w:b/>
        </w:rPr>
        <w:t xml:space="preserve">Prepared by:</w:t>
      </w:r>
      <w:r>
        <w:t xml:space="preserve"> </w:t>
      </w:r>
      <w:r>
        <w:t xml:space="preserve">Global Strategy Division |</w:t>
      </w:r>
      <w:r>
        <w:t xml:space="preserve"> </w:t>
      </w:r>
      <w:r>
        <w:rPr>
          <w:bCs/>
          <w:b/>
        </w:rPr>
        <w:t xml:space="preserve">Consultant Lead:</w:t>
      </w:r>
      <w:r>
        <w:t xml:space="preserve"> </w:t>
      </w:r>
      <w:r>
        <w:t xml:space="preserve">Dr. Anja Schmidt (Berlin-Based Senior Business Consultant)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Business Consulting Excellence in Germany Berlin</dc:title>
  <dc:creator/>
  <dc:language>en</dc:language>
  <cp:keywords/>
  <dcterms:created xsi:type="dcterms:W3CDTF">2026-07-23T13:23:47Z</dcterms:created>
  <dcterms:modified xsi:type="dcterms:W3CDTF">2026-07-23T13:23:47Z</dcterms:modified>
</cp:coreProperties>
</file>

<file path=docProps/custom.xml><?xml version="1.0" encoding="utf-8"?>
<Properties xmlns="http://schemas.openxmlformats.org/officeDocument/2006/custom-properties" xmlns:vt="http://schemas.openxmlformats.org/officeDocument/2006/docPropsVTypes"/>
</file>