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1" w:name="X71f0ab8c22d9470cadf9d3e0b21042e8fb5d79f"/>
    <w:p>
      <w:pPr>
        <w:pStyle w:val="Heading1"/>
      </w:pPr>
      <w:r>
        <w:t xml:space="preserve">Quarterly Sales Report: Strategic Business Consulting Performance in Germany Frankfurt</w:t>
      </w:r>
    </w:p>
    <w:bookmarkStart w:id="20" w:name="executive-summary"/>
    <w:p>
      <w:pPr>
        <w:pStyle w:val="Heading2"/>
      </w:pPr>
      <w:r>
        <w:t xml:space="preserve">Executive Summary</w:t>
      </w:r>
    </w:p>
    <w:p>
      <w:pPr>
        <w:pStyle w:val="FirstParagraph"/>
      </w:pPr>
      <w:r>
        <w:t xml:space="preserve">This comprehensive Sales Report details the performance of our premium Business Consultant services across the dynamic economic landscape of Germany Frankfurt during Q3 2023. As a leading international consulting firm with a dedicated Frankfurt hub, we've achieved remarkable growth in client acquisition and service delivery, solidifying our position as the preferred strategic partner for corporate transformation in Germany's financial capital. This report demonstrates how our specialized Business Consultant expertise directly addresses Frankfurt's unique market demands, driving 32% year-over-year revenue growth and securing 15 new enterprise contracts within Germany Frankfurt alone.</w:t>
      </w:r>
    </w:p>
    <w:bookmarkEnd w:id="20"/>
    <w:bookmarkStart w:id="21" w:name="Xebe7beb7bcf6857857436008ef8fa4339ddf9d1"/>
    <w:p>
      <w:pPr>
        <w:pStyle w:val="Heading2"/>
      </w:pPr>
      <w:r>
        <w:t xml:space="preserve">Market Context: Business Consulting in Germany Frankfurt</w:t>
      </w:r>
    </w:p>
    <w:p>
      <w:pPr>
        <w:pStyle w:val="FirstParagraph"/>
      </w:pPr>
      <w:r>
        <w:t xml:space="preserve">Frankfurt, as Europe's premier financial center and the headquarters of the European Central Bank, presents a highly competitive yet exceptionally fertile market for premium Business Consultant services. The city's concentration of DAX 30 corporations, global banks (Deutsche Bank, Commerzbank), and fintech innovators creates consistent demand for specialized strategic guidance. Our analysis confirms that Frankfurt-based enterprises increasingly prioritize data-driven business transformation – with 78% of surveyed firms citing operational optimization as their top priority in Q3. This trend positions our Business Consultant practice perfectly, as we specialize in integrating AI-driven analytics with industry-specific frameworks tailored to Germany's regulatory environment.</w:t>
      </w:r>
    </w:p>
    <w:bookmarkEnd w:id="21"/>
    <w:bookmarkStart w:id="22" w:name="key-sales-performance-metrics"/>
    <w:p>
      <w:pPr>
        <w:pStyle w:val="Heading2"/>
      </w:pPr>
      <w:r>
        <w:t xml:space="preserve">Key Sales Performance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(Germany Frankfurt)</w:t>
      </w:r>
    </w:p>
    <w:p>
      <w:pPr>
        <w:pStyle w:val="BodyText"/>
      </w:pPr>
      <w:r>
        <w:t xml:space="preserve">€4.7M</w:t>
      </w:r>
    </w:p>
    <w:p>
      <w:pPr>
        <w:pStyle w:val="BodyText"/>
      </w:pPr>
      <w:r>
        <w:t xml:space="preserve">€3.5M</w:t>
      </w:r>
    </w:p>
    <w:p>
      <w:pPr>
        <w:pStyle w:val="BodyText"/>
      </w:pPr>
      <w:r>
        <w:t xml:space="preserve">+34.3%</w:t>
      </w:r>
    </w:p>
    <w:p>
      <w:pPr>
        <w:pStyle w:val="BodyText"/>
      </w:pPr>
      <w:r>
        <w:t xml:space="preserve">New Client Acquisition</w:t>
      </w:r>
    </w:p>
    <w:p>
      <w:pPr>
        <w:pStyle w:val="BodyText"/>
      </w:pPr>
      <w:r>
        <w:t xml:space="preserve">15 Enterprise Clients</w:t>
      </w:r>
    </w:p>
    <w:p>
      <w:pPr>
        <w:pStyle w:val="BodyText"/>
      </w:pPr>
      <w:r>
        <w:t xml:space="preserve">Service Adoption Rate</w:t>
      </w:r>
    </w:p>
    <w:p>
      <w:pPr>
        <w:pStyle w:val="BodyText"/>
      </w:pPr>
      <w:r>
        <w:t xml:space="preserve">89%</w:t>
      </w:r>
    </w:p>
    <w:p>
      <w:pPr>
        <w:pStyle w:val="BodyText"/>
      </w:pPr>
      <w:r>
        <w:t xml:space="preserve">76%</w:t>
      </w:r>
    </w:p>
    <w:p>
      <w:pPr>
        <w:pStyle w:val="BodyText"/>
      </w:pPr>
      <w:r>
        <w:t xml:space="preserve">+13 pts</w:t>
      </w:r>
    </w:p>
    <w:p>
      <w:pPr>
        <w:pStyle w:val="BodyText"/>
      </w:pPr>
      <w:r>
        <w:t xml:space="preserve">Client Retention Rate94%Industry avg: 82% (Statista)</w:t>
      </w:r>
    </w:p>
    <w:bookmarkEnd w:id="22"/>
    <w:bookmarkStart w:id="26" w:name="X517db5a3ba5bf79b85e973e1463263353730b2d"/>
    <w:p>
      <w:pPr>
        <w:pStyle w:val="Heading2"/>
      </w:pPr>
      <w:r>
        <w:t xml:space="preserve">Strategic Service Breakdown: Germany Frankfurt Focus</w:t>
      </w:r>
    </w:p>
    <w:p>
      <w:pPr>
        <w:pStyle w:val="FirstParagraph"/>
      </w:pPr>
      <w:r>
        <w:t xml:space="preserve">Our Business Consultant team in Germany Frankfurt has successfully deployed three signature service lines that resonate with local market needs:</w:t>
      </w:r>
    </w:p>
    <w:bookmarkStart w:id="23" w:name="digital-transformation-acceleration"/>
    <w:p>
      <w:pPr>
        <w:pStyle w:val="Heading3"/>
      </w:pPr>
      <w:r>
        <w:t xml:space="preserve">1. Digital Transformation Acceleration</w:t>
      </w:r>
    </w:p>
    <w:p>
      <w:pPr>
        <w:pStyle w:val="FirstParagraph"/>
      </w:pPr>
      <w:r>
        <w:t xml:space="preserve">Spearheaded by our German-speaking Senior Business Consultants, this program delivered 47% average operational efficiency gains for clients like a major Frankfurt-based asset manager. Our proprietary "Frankfurt Digital Maturity Model" became the industry standard, adopted by 12 of the city's top financial institutions during Q3.</w:t>
      </w:r>
    </w:p>
    <w:bookmarkEnd w:id="23"/>
    <w:bookmarkStart w:id="24" w:name="regulatory-compliance-strategy"/>
    <w:p>
      <w:pPr>
        <w:pStyle w:val="Heading3"/>
      </w:pPr>
      <w:r>
        <w:t xml:space="preserve">2. Regulatory Compliance Strategy</w:t>
      </w:r>
    </w:p>
    <w:p>
      <w:pPr>
        <w:pStyle w:val="FirstParagraph"/>
      </w:pPr>
      <w:r>
        <w:t xml:space="preserve">Addressing Germany's complex regulatory landscape (Basel III, MiFID II), our Business Consultant team secured contracts with 7 banking clients including two DAX 40 firms. We implemented automated compliance tracking systems that reduced reporting time by 65% while ensuring GDPR and EU market regulation alignment.</w:t>
      </w:r>
    </w:p>
    <w:bookmarkEnd w:id="24"/>
    <w:bookmarkStart w:id="25" w:name="sustainable-business-integration"/>
    <w:p>
      <w:pPr>
        <w:pStyle w:val="Heading3"/>
      </w:pPr>
      <w:r>
        <w:t xml:space="preserve">3. Sustainable Business Integration</w:t>
      </w:r>
    </w:p>
    <w:p>
      <w:pPr>
        <w:pStyle w:val="FirstParagraph"/>
      </w:pPr>
      <w:r>
        <w:t xml:space="preserve">In response to Germany's Green Deal commitments, our Frankfurt-based consultants developed ESG integration frameworks adopted by 9 clients. Notable success included redesigning supply chains for a leading German automotive supplier, achieving carbon-neutral operations 18 months ahead of schedule.</w:t>
      </w:r>
    </w:p>
    <w:bookmarkEnd w:id="25"/>
    <w:bookmarkEnd w:id="26"/>
    <w:bookmarkStart w:id="27" w:name="key-client-projects-in-germany-frankfurt"/>
    <w:p>
      <w:pPr>
        <w:pStyle w:val="Heading2"/>
      </w:pPr>
      <w:r>
        <w:t xml:space="preserve">Key Client Projects in Germany Frankfurt</w:t>
      </w:r>
    </w:p>
    <w:p>
      <w:pPr>
        <w:pStyle w:val="FirstParagraph"/>
      </w:pPr>
      <w:r>
        <w:rPr>
          <w:bCs/>
          <w:b/>
        </w:rPr>
        <w:t xml:space="preserve">Project: Deutsche Bank Enterprise Restructuring (Frankfurt HQ)</w:t>
      </w:r>
    </w:p>
    <w:p>
      <w:pPr>
        <w:pStyle w:val="BodyText"/>
      </w:pPr>
      <w:r>
        <w:t xml:space="preserve">Our Business Consultant team conducted a comprehensive operational audit, identifying €18M in annual cost savings opportunities through AI-driven process optimization. The project resulted in a 35% reduction in cross-departmental workflow friction and was directly cited by Deutsche Bank's CEO as "the most impactful transformation initiative of the year" during Q3 earnings call.</w:t>
      </w:r>
    </w:p>
    <w:p>
      <w:pPr>
        <w:pStyle w:val="BodyText"/>
      </w:pPr>
      <w:r>
        <w:rPr>
          <w:bCs/>
          <w:b/>
        </w:rPr>
        <w:t xml:space="preserve">Project: Continental AG Digital Supply Chain (Frankfurt Innovation Center)</w:t>
      </w:r>
    </w:p>
    <w:p>
      <w:pPr>
        <w:pStyle w:val="BodyText"/>
      </w:pPr>
      <w:r>
        <w:t xml:space="preserve">Implemented a blockchain-based supply chain visibility platform across 52 global facilities, reducing inventory costs by 29% and enhancing real-time risk management. The solution received the "Frankfurt Tech Innovation Award" in September 2023, cementing our reputation as leaders in German industry transformation.</w:t>
      </w:r>
    </w:p>
    <w:bookmarkEnd w:id="27"/>
    <w:bookmarkStart w:id="28" w:name="X8e9f12cbb55ff8e3a448cbc959022d7f7cdd679"/>
    <w:p>
      <w:pPr>
        <w:pStyle w:val="Heading2"/>
      </w:pPr>
      <w:r>
        <w:t xml:space="preserve">Market Challenges &amp; Strategic Opportunities</w:t>
      </w:r>
    </w:p>
    <w:p>
      <w:pPr>
        <w:pStyle w:val="FirstParagraph"/>
      </w:pPr>
      <w:r>
        <w:t xml:space="preserve">Despite strong performance, Frankfurt's business consulting market presents unique challenges. Talent acquisition remains critical – the city's competition for specialized Business Consultant profiles has increased wage premiums by 19% year-over-year. Our response includes establishing a partnership with Goethe University Frankfurt for our "Frankfurt Business Leadership Fellowship," directly addressing the local talent pipeline gap.</w:t>
      </w:r>
    </w:p>
    <w:p>
      <w:pPr>
        <w:pStyle w:val="BodyText"/>
      </w:pPr>
      <w:r>
        <w:t xml:space="preserve">Emerging opportunities include Germany's new AI Act implementation (2024), where our Business Consultant practice has developed mandatory compliance frameworks. We've already secured pre-implementation contracts with 5 major Frankfurt firms, positioning us as regulatory pioneers in this emerging space. The energy transition also presents massive potential – with Frankfurt hosting Europe's largest clean energy exchange, our Sustainable Business Integration service line is projected to grow 200% in Q1 2024.</w:t>
      </w:r>
    </w:p>
    <w:bookmarkEnd w:id="28"/>
    <w:bookmarkStart w:id="29" w:name="X1d50840f03f8cef8d10df14621ef9f11205c04a"/>
    <w:p>
      <w:pPr>
        <w:pStyle w:val="Heading2"/>
      </w:pPr>
      <w:r>
        <w:t xml:space="preserve">Strategic Recommendations for Germany Frankfurt Growth</w:t>
      </w:r>
    </w:p>
    <w:p>
      <w:pPr>
        <w:numPr>
          <w:ilvl w:val="0"/>
          <w:numId w:val="1001"/>
        </w:numPr>
        <w:pStyle w:val="Compact"/>
      </w:pPr>
      <w:r>
        <w:rPr>
          <w:bCs/>
          <w:b/>
        </w:rPr>
        <w:t xml:space="preserve">Establish Frankfurt Innovation Hub:</w:t>
      </w:r>
      <w:r>
        <w:t xml:space="preserve"> </w:t>
      </w:r>
      <w:r>
        <w:t xml:space="preserve">Allocate €1.5M to create dedicated transformation labs at our HQ, specifically designed for German enterprise challenges including regulatory sandbox environments and industry-specific use cases.</w:t>
      </w:r>
    </w:p>
    <w:p>
      <w:pPr>
        <w:numPr>
          <w:ilvl w:val="0"/>
          <w:numId w:val="1001"/>
        </w:numPr>
        <w:pStyle w:val="Compact"/>
      </w:pPr>
      <w:r>
        <w:rPr>
          <w:bCs/>
          <w:b/>
        </w:rPr>
        <w:t xml:space="preserve">Sector Specialization Expansion:</w:t>
      </w:r>
      <w:r>
        <w:t xml:space="preserve"> </w:t>
      </w:r>
      <w:r>
        <w:t xml:space="preserve">Develop deeper expertise in Frankfurt's growth sectors: sustainable finance (ESG), quantum computing applications, and automotive 4.0. Target 3 new industry-specific frameworks by Q1 2024.</w:t>
      </w:r>
    </w:p>
    <w:p>
      <w:pPr>
        <w:numPr>
          <w:ilvl w:val="0"/>
          <w:numId w:val="1001"/>
        </w:numPr>
        <w:pStyle w:val="Compact"/>
      </w:pPr>
      <w:r>
        <w:rPr>
          <w:bCs/>
          <w:b/>
        </w:rPr>
        <w:t xml:space="preserve">Local Talent Development:</w:t>
      </w:r>
      <w:r>
        <w:t xml:space="preserve"> </w:t>
      </w:r>
      <w:r>
        <w:t xml:space="preserve">Launch the "Frankfurt Business Consultant Accelerator" program with technical universities to cultivate German-speaking consultants with dual expertise in business strategy and local regulatory systems.</w:t>
      </w:r>
    </w:p>
    <w:bookmarkEnd w:id="29"/>
    <w:bookmarkStart w:id="30" w:name="conclusion-the-frankfurt-advantage"/>
    <w:p>
      <w:pPr>
        <w:pStyle w:val="Heading2"/>
      </w:pPr>
      <w:r>
        <w:t xml:space="preserve">Conclusion: The Frankfurt Advantage</w:t>
      </w:r>
    </w:p>
    <w:p>
      <w:pPr>
        <w:pStyle w:val="FirstParagraph"/>
      </w:pPr>
      <w:r>
        <w:t xml:space="preserve">This Sales Report confirms that our strategic focus on Germany Frankfurt has delivered exceptional results. By embedding our Business Consultant services within the city's economic ecosystem – understanding its unique regulatory complexities, financial market dynamics, and cultural business practices – we've created a sustainable competitive advantage. Our success demonstrates that specialized local expertise combined with global consulting rigor is the key to unlocking value in Frankfurt's demanding market.</w:t>
      </w:r>
    </w:p>
    <w:p>
      <w:pPr>
        <w:pStyle w:val="BodyText"/>
      </w:pPr>
      <w:r>
        <w:t xml:space="preserve">As Germany continues to position Frankfurt as Europe's strategic business capital, our firm remains committed to being the premier partner for enterprise transformation. The next quarter will see us expand our footprint through deeper integration with Frankfurt's financial ecosystem including partnerships with the German Chamber of Commerce and European Banking Federation. This Sales Report underscores that in the complex landscape of Germany Frankfurt, our Business Consultant practice isn't just keeping pace – we're setting the standard for strategic excellence.</w:t>
      </w:r>
    </w:p>
    <w:p>
      <w:pPr>
        <w:pStyle w:val="BodyText"/>
      </w:pPr>
      <w:r>
        <w:rPr>
          <w:iCs/>
          <w:i/>
        </w:rPr>
        <w:t xml:space="preserve">Prepared by: Global Strategy Consulting Division | Frankfurt Office</w:t>
      </w:r>
      <w:r>
        <w:br/>
      </w:r>
      <w:r>
        <w:rPr>
          <w:iCs/>
          <w:i/>
        </w:rPr>
        <w:t xml:space="preserve">Date: October 26, 2023 | Confidential Internal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Germany Frankfurt</dc:title>
  <dc:creator/>
  <dc:language>en</dc:language>
  <cp:keywords/>
  <dcterms:created xsi:type="dcterms:W3CDTF">2026-07-24T14:02:16Z</dcterms:created>
  <dcterms:modified xsi:type="dcterms:W3CDTF">2026-07-24T14:02:16Z</dcterms:modified>
</cp:coreProperties>
</file>

<file path=docProps/custom.xml><?xml version="1.0" encoding="utf-8"?>
<Properties xmlns="http://schemas.openxmlformats.org/officeDocument/2006/custom-properties" xmlns:vt="http://schemas.openxmlformats.org/officeDocument/2006/docPropsVTypes"/>
</file>