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Business</w:t>
      </w:r>
      <w:r>
        <w:t xml:space="preserve"> </w:t>
      </w:r>
      <w:r>
        <w:t xml:space="preserve">Consultant</w:t>
      </w:r>
      <w:r>
        <w:t xml:space="preserve"> </w:t>
      </w:r>
      <w:r>
        <w:t xml:space="preserve">Performance</w:t>
      </w:r>
      <w:r>
        <w:t xml:space="preserve"> </w:t>
      </w:r>
      <w:r>
        <w:t xml:space="preserve">in</w:t>
      </w:r>
      <w:r>
        <w:t xml:space="preserve"> </w:t>
      </w:r>
      <w:r>
        <w:t xml:space="preserve">Mumbai,</w:t>
      </w:r>
      <w:r>
        <w:t xml:space="preserve"> </w:t>
      </w:r>
      <w:r>
        <w:t xml:space="preserve">India</w:t>
      </w:r>
    </w:p>
    <w:bookmarkStart w:id="26" w:name="X7333401b615456559cb213c4fba2338a80571fa"/>
    <w:p>
      <w:pPr>
        <w:pStyle w:val="Heading1"/>
      </w:pPr>
      <w:r>
        <w:t xml:space="preserve">Q3 2023 Sales Report: Strategic Growth and Market Expansion for Business Consultant Services in Mumbai, India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Region Focus:</w:t>
      </w:r>
      <w:r>
        <w:t xml:space="preserve"> </w:t>
      </w:r>
      <w:r>
        <w:t xml:space="preserve">Mumbai Metropolitan Area (India)</w:t>
      </w:r>
    </w:p>
    <w:bookmarkStart w:id="20" w:name="i.-executive-summary"/>
    <w:p>
      <w:pPr>
        <w:pStyle w:val="Heading2"/>
      </w:pPr>
      <w:r>
        <w:t xml:space="preserve">I. Executive Summary</w:t>
      </w:r>
    </w:p>
    <w:p>
      <w:pPr>
        <w:pStyle w:val="FirstParagraph"/>
      </w:pPr>
      <w:r>
        <w:t xml:space="preserve">The third quarter of 2023 marked a significant milestone for our Business Consultant services in Mumbai, India, with a 37% year-on-year increase in client acquisition and a 41% uplift in revenue compared to Q2. This growth underscores the critical demand for specialized Business Consulting expertise within Mumbai's dynamic economic landscape. As the financial and commercial nerve center of India, Mumbai continues to present unparalleled opportunities for strategic advisory services, particularly in sectors like fintech, supply chain optimization, and post-GST regulatory compliance. Our tailored approach—combining deep Mumbai market intelligence with global best practices—has positioned us as a preferred Business Consultant partner for enterprises navigating India's complex business environment.</w:t>
      </w:r>
    </w:p>
    <w:bookmarkEnd w:id="20"/>
    <w:bookmarkStart w:id="21" w:name="Xc8787153038da41969c50c67e26273887099df9"/>
    <w:p>
      <w:pPr>
        <w:pStyle w:val="Heading2"/>
      </w:pPr>
      <w:r>
        <w:t xml:space="preserve">II. Mumbai Market Analysis: Demand Drivers for Business Consultants</w:t>
      </w:r>
    </w:p>
    <w:p>
      <w:pPr>
        <w:pStyle w:val="FirstParagraph"/>
      </w:pPr>
      <w:r>
        <w:t xml:space="preserve">Mumbai’s economy, contributing 7% to India’s GDP and hosting 15% of the nation’s Fortune 500 companies, demands nuanced consulting solutions. Key factors driving demand for our Business Consultant services in Q3 include:</w:t>
      </w:r>
    </w:p>
    <w:p>
      <w:pPr>
        <w:numPr>
          <w:ilvl w:val="0"/>
          <w:numId w:val="1001"/>
        </w:numPr>
        <w:pStyle w:val="Compact"/>
      </w:pPr>
      <w:r>
        <w:rPr>
          <w:bCs/>
          <w:b/>
        </w:rPr>
        <w:t xml:space="preserve">Startup Ecosystem Surge:</w:t>
      </w:r>
      <w:r>
        <w:t xml:space="preserve"> </w:t>
      </w:r>
      <w:r>
        <w:t xml:space="preserve">With Mumbai housing over 2,800 active startups (NASSCOM 2023), demand spiked for strategic scaling support. We advised 17 Series A/B startups in sectors like SaaS and healthtech, focusing on market entry strategies for Tier-1 Indian cities.</w:t>
      </w:r>
    </w:p>
    <w:p>
      <w:pPr>
        <w:numPr>
          <w:ilvl w:val="0"/>
          <w:numId w:val="1001"/>
        </w:numPr>
        <w:pStyle w:val="Compact"/>
      </w:pPr>
      <w:r>
        <w:rPr>
          <w:bCs/>
          <w:b/>
        </w:rPr>
        <w:t xml:space="preserve">Regulatory Complexity:</w:t>
      </w:r>
      <w:r>
        <w:t xml:space="preserve"> </w:t>
      </w:r>
      <w:r>
        <w:t xml:space="preserve">Post-GST reforms and RBI’s new lending policies created urgent need for compliance-focused Business Consultants. 68% of our Q3 engagements addressed regulatory risk mitigation for Mumbai-based manufacturing SMEs.</w:t>
      </w:r>
    </w:p>
    <w:p>
      <w:pPr>
        <w:numPr>
          <w:ilvl w:val="0"/>
          <w:numId w:val="1001"/>
        </w:numPr>
        <w:pStyle w:val="Compact"/>
      </w:pPr>
      <w:r>
        <w:rPr>
          <w:bCs/>
          <w:b/>
        </w:rPr>
        <w:t xml:space="preserve">Supply Chain Disruptions:</w:t>
      </w:r>
      <w:r>
        <w:t xml:space="preserve"> </w:t>
      </w:r>
      <w:r>
        <w:t xml:space="preserve">Geopolitical tensions and port delays at Jawaharlal Nehru Port Trust (JNPT) intensified demand for logistics optimization. Our team delivered 12 supply chain turnaround projects, averaging 34% cost reduction for clients in Andheri and Navi Mumbai.</w:t>
      </w:r>
    </w:p>
    <w:p>
      <w:pPr>
        <w:numPr>
          <w:ilvl w:val="0"/>
          <w:numId w:val="1001"/>
        </w:numPr>
        <w:pStyle w:val="Compact"/>
      </w:pPr>
      <w:r>
        <w:rPr>
          <w:bCs/>
          <w:b/>
        </w:rPr>
        <w:t xml:space="preserve">Digital Transformation Push:</w:t>
      </w:r>
      <w:r>
        <w:t xml:space="preserve"> </w:t>
      </w:r>
      <w:r>
        <w:t xml:space="preserve">83% of Mumbai-based enterprises accelerated digital initiatives (McKinsey India Report). We secured contracts with 9 major firms for ERP implementation and AI-driven analytics, leveraging our Mumbai office’s proximity to tech hubs like Cyber City (Bandra-Kurla Complex).</w:t>
      </w:r>
    </w:p>
    <w:bookmarkEnd w:id="21"/>
    <w:bookmarkStart w:id="22" w:name="X8a58dfaf9bc481c47ceb9f7f8897020845a7096"/>
    <w:p>
      <w:pPr>
        <w:pStyle w:val="Heading2"/>
      </w:pPr>
      <w:r>
        <w:t xml:space="preserve">III. Sales Performance: Key Metrics in Mumbai</w:t>
      </w:r>
    </w:p>
    <w:p>
      <w:pPr>
        <w:pStyle w:val="FirstParagraph"/>
      </w:pPr>
      <w:r>
        <w:t xml:space="preserve">This quarter, our Mumbai-based Business Consultant team achieved exceptional results, directly aligning with the region’s market dynamics:</w:t>
      </w:r>
    </w:p>
    <w:p>
      <w:pPr>
        <w:pStyle w:val="BodyText"/>
      </w:pPr>
      <w:r>
        <w:t xml:space="preserve">Key Metric</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New Client Acquisition (Mumbai)</w:t>
      </w:r>
    </w:p>
    <w:p>
      <w:pPr>
        <w:pStyle w:val="BodyText"/>
      </w:pPr>
      <w:r>
        <w:t xml:space="preserve">47 clients</w:t>
      </w:r>
    </w:p>
    <w:p>
      <w:pPr>
        <w:pStyle w:val="BodyText"/>
      </w:pPr>
      <w:r>
        <w:t xml:space="preserve">31 clients</w:t>
      </w:r>
    </w:p>
    <w:p>
      <w:pPr>
        <w:pStyle w:val="BodyText"/>
      </w:pPr>
      <w:r>
        <w:t xml:space="preserve">+51.6%</w:t>
      </w:r>
    </w:p>
    <w:p>
      <w:pPr>
        <w:pStyle w:val="BodyText"/>
      </w:pPr>
      <w:r>
        <w:t xml:space="preserve">Avg. Deal Size (INR)</w:t>
      </w:r>
    </w:p>
    <w:p>
      <w:pPr>
        <w:pStyle w:val="BodyText"/>
      </w:pPr>
      <w:r>
        <w:t xml:space="preserve">₹2,850,000</w:t>
      </w:r>
    </w:p>
    <w:p>
      <w:pPr>
        <w:pStyle w:val="BodyText"/>
      </w:pPr>
      <w:r>
        <w:t xml:space="preserve">₹2,475,000</w:t>
      </w:r>
    </w:p>
    <w:p>
      <w:pPr>
        <w:pStyle w:val="BodyText"/>
      </w:pPr>
      <w:r>
        <w:t xml:space="preserve">+15.1%</w:t>
      </w:r>
    </w:p>
    <w:p>
      <w:pPr>
        <w:pStyle w:val="BodyText"/>
      </w:pPr>
      <w:r>
        <w:t xml:space="preserve">92%</w:t>
      </w:r>
    </w:p>
    <w:p>
      <w:pPr>
        <w:pStyle w:val="BodyText"/>
      </w:pPr>
      <w:r>
        <w:t xml:space="preserve">86%</w:t>
      </w:r>
    </w:p>
    <w:p>
      <w:pPr>
        <w:pStyle w:val="BodyText"/>
      </w:pPr>
      <w:r>
        <w:t xml:space="preserve">+6 pts</w:t>
      </w:r>
    </w:p>
    <w:p>
      <w:pPr>
        <w:pStyle w:val="BodyText"/>
      </w:pPr>
      <w:r>
        <w:t xml:space="preserve">Notable Mumbai-specific wins include:</w:t>
      </w:r>
    </w:p>
    <w:p>
      <w:pPr>
        <w:numPr>
          <w:ilvl w:val="0"/>
          <w:numId w:val="1002"/>
        </w:numPr>
        <w:pStyle w:val="Compact"/>
      </w:pPr>
      <w:r>
        <w:t xml:space="preserve">A ₹5.2 Cr engagement with a Maratha Mandir-based pharmaceutical distributor to overhaul distribution networks, reducing delivery time by 37%.</w:t>
      </w:r>
    </w:p>
    <w:p>
      <w:pPr>
        <w:numPr>
          <w:ilvl w:val="0"/>
          <w:numId w:val="1002"/>
        </w:numPr>
        <w:pStyle w:val="Compact"/>
      </w:pPr>
      <w:r>
        <w:t xml:space="preserve">Strategic partnership with a Bandra-based fintech startup (acquired 12 months ago) for market expansion across Maharashtra, generating ₹18 Cr in new revenue within Q3.</w:t>
      </w:r>
    </w:p>
    <w:p>
      <w:pPr>
        <w:numPr>
          <w:ilvl w:val="0"/>
          <w:numId w:val="1002"/>
        </w:numPr>
        <w:pStyle w:val="Compact"/>
      </w:pPr>
      <w:r>
        <w:t xml:space="preserve">Regulatory advisory for a Worli-based real estate developer navigating municipal land-use laws, securing approvals 45 days ahead of schedule.</w:t>
      </w:r>
    </w:p>
    <w:bookmarkEnd w:id="22"/>
    <w:bookmarkStart w:id="23" w:name="X52e3f39be0e6887db3264723d4535374df71555"/>
    <w:p>
      <w:pPr>
        <w:pStyle w:val="Heading2"/>
      </w:pPr>
      <w:r>
        <w:t xml:space="preserve">IV. Challenges and Mumbai-Specific Insights</w:t>
      </w:r>
    </w:p>
    <w:p>
      <w:pPr>
        <w:pStyle w:val="FirstParagraph"/>
      </w:pPr>
      <w:r>
        <w:t xml:space="preserve">While growth was strong, Mumbai’s unique ecosystem presented challenges requiring agile Business Consultant responses:</w:t>
      </w:r>
    </w:p>
    <w:p>
      <w:pPr>
        <w:numPr>
          <w:ilvl w:val="0"/>
          <w:numId w:val="1003"/>
        </w:numPr>
        <w:pStyle w:val="Compact"/>
      </w:pPr>
      <w:r>
        <w:rPr>
          <w:bCs/>
          <w:b/>
        </w:rPr>
        <w:t xml:space="preserve">Talent Acquisition:</w:t>
      </w:r>
      <w:r>
        <w:t xml:space="preserve"> </w:t>
      </w:r>
      <w:r>
        <w:t xml:space="preserve">High competition for skilled consultants in Mumbai (vs. Tier-2 cities) led to a 20% increase in recruitment costs. Solution: Partnered with IIT Bombay and Symbiosis to build a talent pipeline focused on Mumbai market nuances.</w:t>
      </w:r>
    </w:p>
    <w:p>
      <w:pPr>
        <w:numPr>
          <w:ilvl w:val="0"/>
          <w:numId w:val="1003"/>
        </w:numPr>
        <w:pStyle w:val="Compact"/>
      </w:pPr>
      <w:r>
        <w:rPr>
          <w:bCs/>
          <w:b/>
        </w:rPr>
        <w:t xml:space="preserve">Cultural Nuances:</w:t>
      </w:r>
      <w:r>
        <w:t xml:space="preserve"> </w:t>
      </w:r>
      <w:r>
        <w:t xml:space="preserve">Misalignment between global consulting frameworks and Mumbai’s relationship-driven business culture required customized engagement models. Our Mumbai team now conducts weekly "client immersion" sessions in local settings (e.g., Chhatrapati Shivaji Maharaj Terminus networking events).</w:t>
      </w:r>
    </w:p>
    <w:bookmarkEnd w:id="23"/>
    <w:bookmarkStart w:id="24" w:name="v.-strategic-recommendations-for-q4-2023"/>
    <w:p>
      <w:pPr>
        <w:pStyle w:val="Heading2"/>
      </w:pPr>
      <w:r>
        <w:t xml:space="preserve">V. Strategic Recommendations for Q4 2023</w:t>
      </w:r>
    </w:p>
    <w:p>
      <w:pPr>
        <w:pStyle w:val="FirstParagraph"/>
      </w:pPr>
      <w:r>
        <w:t xml:space="preserve">To capitalize on Mumbai’s growth trajectory, we propose the following targeted actions for our Business Consultant services:</w:t>
      </w:r>
    </w:p>
    <w:p>
      <w:pPr>
        <w:numPr>
          <w:ilvl w:val="0"/>
          <w:numId w:val="1004"/>
        </w:numPr>
        <w:pStyle w:val="Compact"/>
      </w:pPr>
      <w:r>
        <w:rPr>
          <w:bCs/>
          <w:b/>
        </w:rPr>
        <w:t xml:space="preserve">Expand Mumbai-Specific Service Bundles:</w:t>
      </w:r>
      <w:r>
        <w:t xml:space="preserve"> </w:t>
      </w:r>
      <w:r>
        <w:t xml:space="preserve">Develop "Mumbai Compliance Passport" packages addressing MSME registration, municipal licensing, and port logistics—addressing 75% of regional SME pain points.</w:t>
      </w:r>
    </w:p>
    <w:p>
      <w:pPr>
        <w:numPr>
          <w:ilvl w:val="0"/>
          <w:numId w:val="1004"/>
        </w:numPr>
        <w:pStyle w:val="Compact"/>
      </w:pPr>
      <w:r>
        <w:rPr>
          <w:bCs/>
          <w:b/>
        </w:rPr>
        <w:t xml:space="preserve">Leverage Mumbai’s Startup Hubs:</w:t>
      </w:r>
      <w:r>
        <w:t xml:space="preserve"> </w:t>
      </w:r>
      <w:r>
        <w:t xml:space="preserve">Partner with incubators like T-Hub (Mumbai) and C3 to co-host workshops on "Funding Readiness for Mumbai Startups," positioning us as the go-to Business Consultant for early-stage ventures.</w:t>
      </w:r>
    </w:p>
    <w:p>
      <w:pPr>
        <w:numPr>
          <w:ilvl w:val="0"/>
          <w:numId w:val="1004"/>
        </w:numPr>
        <w:pStyle w:val="Compact"/>
      </w:pPr>
      <w:r>
        <w:rPr>
          <w:bCs/>
          <w:b/>
        </w:rPr>
        <w:t xml:space="preserve">Invest in Localized Case Studies:</w:t>
      </w:r>
      <w:r>
        <w:t xml:space="preserve"> </w:t>
      </w:r>
      <w:r>
        <w:t xml:space="preserve">Document Mumbai-specific success stories (e.g., "How We Scaled a Navi Mumbai E-commerce Firm to ₹200 Cr Revenue") for hyper-targeted marketing across Mumbai’s business circles.</w:t>
      </w:r>
    </w:p>
    <w:p>
      <w:pPr>
        <w:numPr>
          <w:ilvl w:val="0"/>
          <w:numId w:val="1004"/>
        </w:numPr>
        <w:pStyle w:val="Compact"/>
      </w:pPr>
      <w:r>
        <w:rPr>
          <w:bCs/>
          <w:b/>
        </w:rPr>
        <w:t xml:space="preserve">Prioritize Tier-2 City Expansion from Mumbai Base:</w:t>
      </w:r>
      <w:r>
        <w:t xml:space="preserve"> </w:t>
      </w:r>
      <w:r>
        <w:t xml:space="preserve">Deploy our Business Consultant team as regional anchors—using Mumbai as a command center to serve Pune, Nagpur, and Ahmedabad. This leverages our established market presence while addressing India’s growing regional demand.</w:t>
      </w:r>
    </w:p>
    <w:bookmarkEnd w:id="24"/>
    <w:bookmarkStart w:id="25" w:name="vi.-conclusion"/>
    <w:p>
      <w:pPr>
        <w:pStyle w:val="Heading2"/>
      </w:pPr>
      <w:r>
        <w:t xml:space="preserve">VI. Conclusion</w:t>
      </w:r>
    </w:p>
    <w:p>
      <w:pPr>
        <w:pStyle w:val="FirstParagraph"/>
      </w:pPr>
      <w:r>
        <w:t xml:space="preserve">Mumbai is not merely a location for our Business Consultant operations—it is the epicenter of India’s commercial transformation. The Q3 results validate that Mumbai-centric, agile consulting solutions generate outsized returns in revenue and client trust. As we move into 2024, our strategy will deepen this local expertise while scaling to serve the broader Indian market from our Mumbai headquarters. The data is clear: enterprises seeking sustainable growth in India’s most complex business environment choose Business Consultants who understand Mumbai’s rhythm—its pace, its challenges, and its unparalleled opportunities. We are committed to leading this charge as the preferred Business Consultant partner for Mumbai-based businesses nationwide.</w:t>
      </w:r>
    </w:p>
    <w:p>
      <w:pPr>
        <w:pStyle w:val="BodyText"/>
      </w:pPr>
      <w:r>
        <w:rPr>
          <w:iCs/>
          <w:i/>
        </w:rPr>
        <w:t xml:space="preserve">"In Mumbai, success isn’t just about the strategy—it’s about executing it within the city’s unique heartbeat." — Ananya Desai, Head of Business Consulting, India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Business Consultant Performance in Mumbai, India</dc:title>
  <dc:creator/>
  <dc:language>en</dc:language>
  <cp:keywords/>
  <dcterms:created xsi:type="dcterms:W3CDTF">2026-07-23T22:52:16Z</dcterms:created>
  <dcterms:modified xsi:type="dcterms:W3CDTF">2026-07-23T22:52:16Z</dcterms:modified>
</cp:coreProperties>
</file>

<file path=docProps/custom.xml><?xml version="1.0" encoding="utf-8"?>
<Properties xmlns="http://schemas.openxmlformats.org/officeDocument/2006/custom-properties" xmlns:vt="http://schemas.openxmlformats.org/officeDocument/2006/docPropsVTypes"/>
</file>