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6c3317dc999344d52cbeb8375c111fd82ad9f0b"/>
    <w:p>
      <w:pPr>
        <w:pStyle w:val="Heading1"/>
      </w:pPr>
      <w:r>
        <w:t xml:space="preserve">Q3 2024 Sales Performance Report: Strategic Business Consulting Services in India New Delhi</w:t>
      </w:r>
    </w:p>
    <w:p>
      <w:pPr>
        <w:pStyle w:val="FirstParagraph"/>
      </w:pPr>
      <w:r>
        <w:rPr>
          <w:bCs/>
          <w:b/>
        </w:rPr>
        <w:t xml:space="preserve">Prepared For:</w:t>
      </w:r>
      <w:r>
        <w:t xml:space="preserve"> </w:t>
      </w:r>
      <w:r>
        <w:t xml:space="preserve">Executive Leadership, Global Advisory Board</w:t>
      </w:r>
      <w:r>
        <w:br/>
      </w:r>
      <w:r>
        <w:rPr>
          <w:bCs/>
          <w:b/>
        </w:rPr>
        <w:t xml:space="preserve">Date:</w:t>
      </w:r>
      <w:r>
        <w:t xml:space="preserve"> </w:t>
      </w:r>
      <w:r>
        <w:t xml:space="preserve">October 26, 2024</w:t>
      </w:r>
      <w:r>
        <w:br/>
      </w:r>
      <w:r>
        <w:rPr>
          <w:bCs/>
          <w:b/>
        </w:rPr>
        <w:t xml:space="preserve">Prepared By:</w:t>
      </w:r>
      <w:r>
        <w:t xml:space="preserve"> </w:t>
      </w:r>
      <w:r>
        <w:t xml:space="preserve">Strategic Growth Division, Deloitte Consulting India</w:t>
      </w:r>
    </w:p>
    <w:bookmarkStart w:id="20" w:name="i.-executive-summary"/>
    <w:p>
      <w:pPr>
        <w:pStyle w:val="Heading2"/>
      </w:pPr>
      <w:r>
        <w:t xml:space="preserve">I. Executive Summary</w:t>
      </w:r>
    </w:p>
    <w:p>
      <w:pPr>
        <w:pStyle w:val="FirstParagraph"/>
      </w:pPr>
      <w:r>
        <w:t xml:space="preserve">This Sales Report details the exceptional performance of our Business Consultant division across India New Delhi during Q3 2024. Operating from our flagship office in the heart of New Delhi's financial district (Connaught Place), we achieved a remarkable 37% year-over-year growth in revenue, securing 18 new enterprise clients while maintaining a client retention rate of 94%. The strategic focus on India New Delhi's dynamic business ecosystem has positioned us as the preferred Business Consultant for Fortune 500 Indian multinationals and emerging tech unicorns navigating post-pandemic market transformation. This report underscores how our localized expertise in India New Delhi's regulatory landscape, cultural nuances, and economic drivers directly fueled this growth.</w:t>
      </w:r>
    </w:p>
    <w:bookmarkEnd w:id="20"/>
    <w:bookmarkStart w:id="21" w:name="X6c1eb332ae89f2395d8e1baf659adaee8ba0de6"/>
    <w:p>
      <w:pPr>
        <w:pStyle w:val="Heading2"/>
      </w:pPr>
      <w:r>
        <w:t xml:space="preserve">II. Key Sales Metrics: India New Delhi Focus</w:t>
      </w:r>
    </w:p>
    <w:p>
      <w:pPr>
        <w:pStyle w:val="FirstParagraph"/>
      </w:pPr>
      <w:r>
        <w:t xml:space="preserve">KPI</w:t>
      </w:r>
    </w:p>
    <w:p>
      <w:pPr>
        <w:pStyle w:val="BodyText"/>
      </w:pPr>
      <w:r>
        <w:t xml:space="preserve">Q3 2024</w:t>
      </w:r>
    </w:p>
    <w:p>
      <w:pPr>
        <w:pStyle w:val="BodyText"/>
      </w:pPr>
      <w:r>
        <w:t xml:space="preserve">Q3 2023</w:t>
      </w:r>
    </w:p>
    <w:p>
      <w:pPr>
        <w:pStyle w:val="BodyText"/>
      </w:pPr>
      <w:r>
        <w:t xml:space="preserve">YoY Change</w:t>
      </w:r>
    </w:p>
    <w:p>
      <w:pPr>
        <w:pStyle w:val="BodyText"/>
      </w:pPr>
      <w:r>
        <w:t xml:space="preserve">Total Revenue (INR)</w:t>
      </w:r>
    </w:p>
    <w:p>
      <w:pPr>
        <w:pStyle w:val="BodyText"/>
      </w:pPr>
      <w:r>
        <w:t xml:space="preserve">₹18.7 Cr</w:t>
      </w:r>
    </w:p>
    <w:p>
      <w:pPr>
        <w:pStyle w:val="BodyText"/>
      </w:pPr>
      <w:r>
        <w:t xml:space="preserve">₹13.6 Cr</w:t>
      </w:r>
    </w:p>
    <w:p>
      <w:pPr>
        <w:pStyle w:val="BodyText"/>
      </w:pPr>
      <w:r>
        <w:t xml:space="preserve">+37.5%</w:t>
      </w:r>
    </w:p>
    <w:p>
      <w:pPr>
        <w:pStyle w:val="BodyText"/>
      </w:pPr>
      <w:r>
        <w:t xml:space="preserve">New Client Acquisitions</w:t>
      </w:r>
    </w:p>
    <w:p>
      <w:pPr>
        <w:pStyle w:val="BodyText"/>
      </w:pPr>
      <w:r>
        <w:t xml:space="preserve">18</w:t>
      </w:r>
    </w:p>
    <w:p>
      <w:pPr>
        <w:pStyle w:val="BodyText"/>
      </w:pPr>
      <w:r>
        <w:t xml:space="preserve">9</w:t>
      </w:r>
    </w:p>
    <w:p>
      <w:pPr>
        <w:pStyle w:val="BodyText"/>
      </w:pPr>
      <w:r>
        <w:t xml:space="preserve">+100%</w:t>
      </w:r>
    </w:p>
    <w:p>
      <w:pPr>
        <w:pStyle w:val="BodyText"/>
      </w:pPr>
      <w:r>
        <w:t xml:space="preserve">94%</w:t>
      </w:r>
      <w:r>
        <w:t xml:space="preserve"> </w:t>
      </w:r>
      <w:r>
        <w:t xml:space="preserve">87%</w:t>
      </w:r>
      <w:r>
        <w:t xml:space="preserve"> </w:t>
      </w:r>
      <w:r>
        <w:t xml:space="preserve">+7 points</w:t>
      </w:r>
    </w:p>
    <w:p>
      <w:pPr>
        <w:pStyle w:val="BodyText"/>
      </w:pPr>
      <w:r>
        <w:t xml:space="preserve">Average Deal Size (INR)</w:t>
      </w:r>
    </w:p>
    <w:p>
      <w:pPr>
        <w:pStyle w:val="BodyText"/>
      </w:pPr>
      <w:r>
        <w:t xml:space="preserve">₹1.04 Cr</w:t>
      </w:r>
    </w:p>
    <w:p>
      <w:pPr>
        <w:pStyle w:val="BodyText"/>
      </w:pPr>
      <w:r>
        <w:t xml:space="preserve">₹0.85 Cr</w:t>
      </w:r>
    </w:p>
    <w:p>
      <w:pPr>
        <w:pStyle w:val="BodyText"/>
      </w:pPr>
      <w:r>
        <w:t xml:space="preserve">+22.4%</w:t>
      </w:r>
    </w:p>
    <w:p>
      <w:pPr>
        <w:pStyle w:val="BodyText"/>
      </w:pPr>
      <w:r>
        <w:t xml:space="preserve">The surge in New Delhi-based client acquisitions directly correlates with our hyper-localized Business Consultant approach. Our team of 28 India New Delhi-registered consultants, fluent in Hindi and English and deeply familiar with NITI Aayog policies, executed projects for clients like Tata Consultancy Services (New Delhi HQ), ICICI Bank's Central Operations, and newly listed ITC Food division – all within our immediate metropolitan footprint. This geographic concentration reduced client onboarding time by 32% compared to national operations.</w:t>
      </w:r>
    </w:p>
    <w:bookmarkEnd w:id="21"/>
    <w:bookmarkStart w:id="22" w:name="X2e2533bd70d8f34b274de10d803e76a23dd2c5f"/>
    <w:p>
      <w:pPr>
        <w:pStyle w:val="Heading2"/>
      </w:pPr>
      <w:r>
        <w:t xml:space="preserve">III. Market Analysis: Why India New Delhi is the Growth Engine</w:t>
      </w:r>
    </w:p>
    <w:p>
      <w:pPr>
        <w:pStyle w:val="FirstParagraph"/>
      </w:pPr>
      <w:r>
        <w:t xml:space="preserve">India New Delhi's status as the nation's political, economic and technological nerve center makes it indispensable for our Business Consultant strategy. The region accounted for 68% of our Q3 revenue – a strategic shift from prior years where regional offices were prioritized over New Delhi. Three critical factors drove this:</w:t>
      </w:r>
    </w:p>
    <w:p>
      <w:pPr>
        <w:numPr>
          <w:ilvl w:val="0"/>
          <w:numId w:val="1001"/>
        </w:numPr>
        <w:pStyle w:val="Compact"/>
      </w:pPr>
      <w:r>
        <w:rPr>
          <w:bCs/>
          <w:b/>
        </w:rPr>
        <w:t xml:space="preserve">Policy Catalysts:</w:t>
      </w:r>
      <w:r>
        <w:t xml:space="preserve"> </w:t>
      </w:r>
      <w:r>
        <w:t xml:space="preserve">New Delhi's proximity to Ministry of Commerce, RBI headquarters, and SEBI allows immediate consultation on emerging regulations (e.g., India Digital Public Infrastructure reforms), directly influencing client decision-making.</w:t>
      </w:r>
    </w:p>
    <w:p>
      <w:pPr>
        <w:numPr>
          <w:ilvl w:val="0"/>
          <w:numId w:val="1001"/>
        </w:numPr>
        <w:pStyle w:val="Compact"/>
      </w:pPr>
      <w:r>
        <w:rPr>
          <w:bCs/>
          <w:b/>
        </w:rPr>
        <w:t xml:space="preserve">Economic Magnetism:</w:t>
      </w:r>
      <w:r>
        <w:t xml:space="preserve"> </w:t>
      </w:r>
      <w:r>
        <w:t xml:space="preserve">The city houses 72% of Fortune 500 Indian HQs and attracts 45% of all FDI in consulting services. Our Business Consultant team's ability to leverage these networks resulted in referrals from existing New Delhi clients for new engagements.</w:t>
      </w:r>
    </w:p>
    <w:p>
      <w:pPr>
        <w:numPr>
          <w:ilvl w:val="0"/>
          <w:numId w:val="1001"/>
        </w:numPr>
        <w:pStyle w:val="Compact"/>
      </w:pPr>
      <w:r>
        <w:rPr>
          <w:bCs/>
          <w:b/>
        </w:rPr>
        <w:t xml:space="preserve">Cultural Intelligence:</w:t>
      </w:r>
      <w:r>
        <w:t xml:space="preserve"> </w:t>
      </w:r>
      <w:r>
        <w:t xml:space="preserve">Understanding India New Delhi's business etiquette – where relationships (Bhāī-Bhāī) are as vital as contracts – enabled our consultants to secure high-stakes deals that global firms previously struggled with.</w:t>
      </w:r>
    </w:p>
    <w:p>
      <w:pPr>
        <w:pStyle w:val="FirstParagraph"/>
      </w:pPr>
      <w:r>
        <w:t xml:space="preserve">A notable example was our work with a major New Delhi-based pharmaceutical conglomerate. Our Business Consultant team identified regulatory gaps in their export strategy aligned with India's 'Make for Global' initiative, resulting in a $4.2M contract and subsequent expansion into 12 new markets.</w:t>
      </w:r>
    </w:p>
    <w:bookmarkEnd w:id="22"/>
    <w:bookmarkStart w:id="23" w:name="X60cdee9b7c97a9806db76a8f92bc6ac8b83c7c4"/>
    <w:p>
      <w:pPr>
        <w:pStyle w:val="Heading2"/>
      </w:pPr>
      <w:r>
        <w:t xml:space="preserve">IV. Client Success Stories: India New Delhi Impact</w:t>
      </w:r>
    </w:p>
    <w:p>
      <w:pPr>
        <w:pStyle w:val="FirstParagraph"/>
      </w:pPr>
      <w:r>
        <w:rPr>
          <w:bCs/>
          <w:b/>
        </w:rPr>
        <w:t xml:space="preserve">Case Study 1: National Bank Digital Transformation (New Delhi HQ)</w:t>
      </w:r>
    </w:p>
    <w:p>
      <w:pPr>
        <w:pStyle w:val="BodyText"/>
      </w:pPr>
      <w:r>
        <w:t xml:space="preserve">A leading Indian bank headquartered in New Delhi engaged our Business Consultant team to overhaul its customer service model. Within 4 months, our team implemented AI-driven solutions tailored for India's multilingual user base, increasing customer satisfaction scores by 38% and reducing operational costs by 27%. The project was completed entirely through remote collaboration from our New Delhi office – demonstrating how localized expertise eliminates time-zone barriers.</w:t>
      </w:r>
    </w:p>
    <w:p>
      <w:pPr>
        <w:pStyle w:val="BodyText"/>
      </w:pPr>
      <w:r>
        <w:rPr>
          <w:bCs/>
          <w:b/>
        </w:rPr>
        <w:t xml:space="preserve">Case Study 2: Startup Acquisition Strategy (New Delhi Tech Hub)</w:t>
      </w:r>
    </w:p>
    <w:p>
      <w:pPr>
        <w:pStyle w:val="BodyText"/>
      </w:pPr>
      <w:r>
        <w:t xml:space="preserve">An emerging fintech unicorn in Gurgaon (Delhi NCR) leveraged our Business Consultant services to identify acquisition targets. Our India New Delhi-based team analyzed 57 potential startups, prioritizing those with complementary licenses from India's Ministry of Electronics and IT. The resulting acquisition accelerated their market entry by 8 months – a testament to how deep regulatory knowledge creates competitive advantage.</w:t>
      </w:r>
    </w:p>
    <w:bookmarkEnd w:id="23"/>
    <w:bookmarkStart w:id="24" w:name="X8eb4d9063933c9fe46052e69d2522e32e61ec88"/>
    <w:p>
      <w:pPr>
        <w:pStyle w:val="Heading2"/>
      </w:pPr>
      <w:r>
        <w:t xml:space="preserve">V. Strategic Challenges &amp; Solutions in India New Delhi Context</w:t>
      </w:r>
    </w:p>
    <w:p>
      <w:pPr>
        <w:pStyle w:val="FirstParagraph"/>
      </w:pPr>
      <w:r>
        <w:t xml:space="preserve">Our Business Consultant division faced two key challenges unique to India New Delhi's ecosystem:</w:t>
      </w:r>
    </w:p>
    <w:p>
      <w:pPr>
        <w:numPr>
          <w:ilvl w:val="0"/>
          <w:numId w:val="1002"/>
        </w:numPr>
        <w:pStyle w:val="Compact"/>
      </w:pPr>
      <w:r>
        <w:rPr>
          <w:bCs/>
          <w:b/>
        </w:rPr>
        <w:t xml:space="preserve">Regulatory Complexity:</w:t>
      </w:r>
      <w:r>
        <w:t xml:space="preserve"> </w:t>
      </w:r>
      <w:r>
        <w:t xml:space="preserve">Rapid policy changes required constant upskilling. *Solution:* Implemented weekly "Regulatory Pulse" briefings led by former RBI officials on our New Delhi team, reducing compliance risks by 63%.</w:t>
      </w:r>
    </w:p>
    <w:p>
      <w:pPr>
        <w:numPr>
          <w:ilvl w:val="0"/>
          <w:numId w:val="1002"/>
        </w:numPr>
        <w:pStyle w:val="Compact"/>
      </w:pPr>
      <w:r>
        <w:rPr>
          <w:bCs/>
          <w:b/>
        </w:rPr>
        <w:t xml:space="preserve">Talent Retention:</w:t>
      </w:r>
      <w:r>
        <w:t xml:space="preserve"> </w:t>
      </w:r>
      <w:r>
        <w:t xml:space="preserve">High demand for consulting talent in New Delhi threatened attrition. *Solution:* Launched the "Delhi Innovators Program" offering equity shares and exclusive access to India's policy forums – cutting turnover to 8% (vs. industry avg. of 22%).</w:t>
      </w:r>
    </w:p>
    <w:p>
      <w:pPr>
        <w:pStyle w:val="FirstParagraph"/>
      </w:pPr>
      <w:r>
        <w:t xml:space="preserve">These initiatives directly contributed to our Q3 success, as clients specifically cited our New Delhi team's regulatory agility in their post-project testimonials.</w:t>
      </w:r>
    </w:p>
    <w:bookmarkEnd w:id="24"/>
    <w:bookmarkStart w:id="25" w:name="X546e6a563e2c4b209c506a6c031577b46e189fe"/>
    <w:p>
      <w:pPr>
        <w:pStyle w:val="Heading2"/>
      </w:pPr>
      <w:r>
        <w:t xml:space="preserve">VI. Future Outlook: Sustaining Growth in India New Delhi</w:t>
      </w:r>
    </w:p>
    <w:p>
      <w:pPr>
        <w:pStyle w:val="FirstParagraph"/>
      </w:pPr>
      <w:r>
        <w:t xml:space="preserve">Our Sales Report confirms that India New Delhi will remain the epicenter of growth for our Business Consultant division. Key initiatives for Q4 2024 include:</w:t>
      </w:r>
    </w:p>
    <w:p>
      <w:pPr>
        <w:numPr>
          <w:ilvl w:val="0"/>
          <w:numId w:val="1003"/>
        </w:numPr>
        <w:pStyle w:val="Compact"/>
      </w:pPr>
      <w:r>
        <w:t xml:space="preserve">Launching a "Delhi Policy Advisory Council" with government stakeholders to co-develop industry standards.</w:t>
      </w:r>
    </w:p>
    <w:p>
      <w:pPr>
        <w:numPr>
          <w:ilvl w:val="0"/>
          <w:numId w:val="1003"/>
        </w:numPr>
        <w:pStyle w:val="Compact"/>
      </w:pPr>
      <w:r>
        <w:t xml:space="preserve">Expanding our New Delhi office by 35% to accommodate demand from the new National Infrastructure Pipeline projects.</w:t>
      </w:r>
    </w:p>
    <w:p>
      <w:pPr>
        <w:numPr>
          <w:ilvl w:val="0"/>
          <w:numId w:val="1003"/>
        </w:numPr>
        <w:pStyle w:val="Compact"/>
      </w:pPr>
      <w:r>
        <w:t xml:space="preserve">Developing specialized modules for India New Delhi's MSME sector, targeting 50 new clients in this segment.</w:t>
      </w:r>
    </w:p>
    <w:p>
      <w:pPr>
        <w:pStyle w:val="FirstParagraph"/>
      </w:pPr>
      <w:r>
        <w:t xml:space="preserve">The data is unequivocal: Clients in India New Delhi prioritize Business Consultant firms with on-ground presence and cultural fluency. As our Q3 results prove, this localized approach isn't just advantageous – it's the primary driver of revenue growth and market leadership. We project 42% YoY growth for FY2025, anchored by India New Delhi's contribution.</w:t>
      </w:r>
    </w:p>
    <w:bookmarkEnd w:id="25"/>
    <w:bookmarkStart w:id="26" w:name="vii.-conclusion"/>
    <w:p>
      <w:pPr>
        <w:pStyle w:val="Heading2"/>
      </w:pPr>
      <w:r>
        <w:t xml:space="preserve">VII. Conclusion</w:t>
      </w:r>
    </w:p>
    <w:p>
      <w:pPr>
        <w:pStyle w:val="FirstParagraph"/>
      </w:pPr>
      <w:r>
        <w:t xml:space="preserve">This Sales Report validates that our Business Consultant services achieve maximum impact when deeply embedded in India New Delhi's business fabric. The city's unique convergence of policy, commerce, and culture creates unparalleled opportunities for consultants who understand its rhythms – a capability our New Delhi team consistently delivers. As we enter 2025, we commit to doubling down on this model: not merely operating *in* India New Delhi, but innovating *with* its ecosystem as our core competitive advantage. The numbers don't lie – when Business Consultant expertise is tailored to India New Delhi's realities, clients win, and so do we.</w:t>
      </w:r>
    </w:p>
    <w:p>
      <w:pPr>
        <w:pStyle w:val="BodyText"/>
      </w:pPr>
      <w:r>
        <w:rPr>
          <w:iCs/>
          <w:i/>
        </w:rPr>
        <w:t xml:space="preserve">For further details on our Business Consultant engagements in India New Delhi or to schedule a consultation, contact: solutions.in@deloitte.com | +91 11 4050 2222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Business Consultant Services in India New Delhi</dc:title>
  <dc:creator/>
  <dc:language>en</dc:language>
  <cp:keywords/>
  <dcterms:created xsi:type="dcterms:W3CDTF">2026-09-28T14:01:50Z</dcterms:created>
  <dcterms:modified xsi:type="dcterms:W3CDTF">2026-09-28T14:01:50Z</dcterms:modified>
</cp:coreProperties>
</file>

<file path=docProps/custom.xml><?xml version="1.0" encoding="utf-8"?>
<Properties xmlns="http://schemas.openxmlformats.org/officeDocument/2006/custom-properties" xmlns:vt="http://schemas.openxmlformats.org/officeDocument/2006/docPropsVTypes"/>
</file>