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Indonesia</w:t>
      </w:r>
      <w:r>
        <w:t xml:space="preserve"> </w:t>
      </w:r>
      <w:r>
        <w:t xml:space="preserve">Jakarta</w:t>
      </w:r>
    </w:p>
    <w:bookmarkStart w:id="28" w:name="X9a40e080e305def41cf8c343322ce734a0bb0c3"/>
    <w:p>
      <w:pPr>
        <w:pStyle w:val="Heading1"/>
      </w:pPr>
      <w:r>
        <w:t xml:space="preserve">Quarterly Sales Report: Business Consulting Services in Indonesia Jakarta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Business Consulting Division</w:t>
      </w:r>
      <w:r>
        <w:br/>
      </w:r>
      <w:r>
        <w:rPr>
          <w:bCs/>
          <w:b/>
        </w:rPr>
        <w:t xml:space="preserve">Prepared By:</w:t>
      </w:r>
      <w:r>
        <w:t xml:space="preserve"> </w:t>
      </w:r>
      <w:r>
        <w:t xml:space="preserve">Jakarta Regional Sales Team</w:t>
      </w:r>
    </w:p>
    <w:bookmarkStart w:id="20" w:name="executive-summary"/>
    <w:p>
      <w:pPr>
        <w:pStyle w:val="Heading2"/>
      </w:pPr>
      <w:r>
        <w:t xml:space="preserve">Executive Summary</w:t>
      </w:r>
    </w:p>
    <w:p>
      <w:pPr>
        <w:pStyle w:val="FirstParagraph"/>
      </w:pPr>
      <w:r>
        <w:t xml:space="preserve">This comprehensive Sales Report details the performance of our Business Consultant services across Indonesia Jakarta during Q3 2023. The Jakarta market continues to demonstrate robust demand for specialized business consulting, with a 17% year-over-year revenue growth achieved through strategic client acquisition in key sectors including manufacturing, retail, and fintech. As the economic hub of Indonesia, Jakarta presents unparalleled opportunities for Business Consultant firms leveraging localized expertise. This report validates our market positioning while identifying critical growth vectors for the upcoming quarter.</w:t>
      </w:r>
    </w:p>
    <w:bookmarkEnd w:id="20"/>
    <w:bookmarkStart w:id="21" w:name="Xaefdc9e2f12e83a4a7bdbb14e9686860a36563f"/>
    <w:p>
      <w:pPr>
        <w:pStyle w:val="Heading2"/>
      </w:pPr>
      <w:r>
        <w:t xml:space="preserve">Market Context: Indonesia Jakarta's Business Landscape</w:t>
      </w:r>
    </w:p>
    <w:p>
      <w:pPr>
        <w:pStyle w:val="FirstParagraph"/>
      </w:pPr>
      <w:r>
        <w:t xml:space="preserve">Indonesia Jakarta serves as the nation's commercial nerve center, hosting 58% of Indonesia's Fortune 500 companies and driving 34% of national GDP. The city’s dynamic business ecosystem—characterized by rapid digital transformation, increasing foreign investment in ASEAN markets, and evolving regulatory frameworks—creates constant demand for expert Business Consultant guidance. Recent data from the Jakarta Investment Promotion Agency (JIPA) confirms that 73% of multinational corporations operating in Jakarta now prioritize strategic consulting services to navigate local market complexities. This trend positions our Jakarta-based Business Consultant team as an indispensable asset for regional expansion.</w:t>
      </w:r>
    </w:p>
    <w:bookmarkEnd w:id="21"/>
    <w:bookmarkStart w:id="22" w:name="key-performance-indicators-q3-2023"/>
    <w:p>
      <w:pPr>
        <w:pStyle w:val="Heading2"/>
      </w:pPr>
      <w:r>
        <w:t xml:space="preserve">Key Performance Indicators (Q3 2023)</w:t>
      </w:r>
    </w:p>
    <w:p>
      <w:pPr>
        <w:pStyle w:val="FirstParagraph"/>
      </w:pPr>
      <w:r>
        <w:t xml:space="preserve">Indicator</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(IDR)</w:t>
      </w:r>
    </w:p>
    <w:p>
      <w:pPr>
        <w:pStyle w:val="BodyText"/>
      </w:pPr>
      <w:r>
        <w:t xml:space="preserve">18.7B</w:t>
      </w:r>
    </w:p>
    <w:p>
      <w:pPr>
        <w:pStyle w:val="BodyText"/>
      </w:pPr>
      <w:r>
        <w:t xml:space="preserve">15.9B</w:t>
      </w:r>
    </w:p>
    <w:p>
      <w:pPr>
        <w:pStyle w:val="BodyText"/>
      </w:pPr>
      <w:r>
        <w:t xml:space="preserve">+17.2%</w:t>
      </w:r>
    </w:p>
    <w:p>
      <w:pPr>
        <w:pStyle w:val="BodyText"/>
      </w:pPr>
      <w:r>
        <w:t xml:space="preserve">New Client Acquisition</w:t>
      </w:r>
    </w:p>
    <w:p>
      <w:pPr>
        <w:pStyle w:val="BodyText"/>
      </w:pPr>
      <w:r>
        <w:rPr>
          <w:bCs/>
          <w:b/>
        </w:rPr>
        <w:t xml:space="preserve">32</w:t>
      </w:r>
    </w:p>
    <w:p>
      <w:pPr>
        <w:pStyle w:val="BodyText"/>
      </w:pPr>
      <w:r>
        <w:t xml:space="preserve">24</w:t>
      </w:r>
    </w:p>
    <w:p>
      <w:pPr>
        <w:pStyle w:val="BodyText"/>
      </w:pPr>
      <w:r>
        <w:t xml:space="preserve">+33.3%</w:t>
      </w:r>
    </w:p>
    <w:p>
      <w:pPr>
        <w:pStyle w:val="BodyText"/>
      </w:pPr>
      <w:r>
        <w:t xml:space="preserve">Client Retention Rate</w:t>
      </w:r>
    </w:p>
    <w:p>
      <w:pPr>
        <w:pStyle w:val="BodyText"/>
      </w:pPr>
      <w:r>
        <w:t xml:space="preserve">89%</w:t>
      </w:r>
    </w:p>
    <w:p>
      <w:pPr>
        <w:pStyle w:val="BodyText"/>
      </w:pPr>
      <w:r>
        <w:t xml:space="preserve">85%</w:t>
      </w:r>
    </w:p>
    <w:p>
      <w:pPr>
        <w:pStyle w:val="BodyText"/>
      </w:pPr>
      <w:r>
        <w:t xml:space="preserve">+4.0 pts</w:t>
      </w:r>
    </w:p>
    <w:p>
      <w:pPr>
        <w:pStyle w:val="BodyText"/>
      </w:pPr>
      <w:r>
        <w:t xml:space="preserve">Avg. Contract Value</w:t>
      </w:r>
    </w:p>
    <w:p>
      <w:pPr>
        <w:pStyle w:val="BodyText"/>
      </w:pPr>
      <w:r>
        <w:t xml:space="preserve">IDR 625M</w:t>
      </w:r>
    </w:p>
    <w:p>
      <w:pPr>
        <w:pStyle w:val="BodyText"/>
      </w:pPr>
      <w:r>
        <w:t xml:space="preserve">&lt;</w:t>
      </w:r>
    </w:p>
    <w:p>
      <w:pPr>
        <w:pStyle w:val="BodyText"/>
      </w:pPr>
      <w:r>
        <w:t xml:space="preserve">IDR 580M</w:t>
      </w:r>
    </w:p>
    <w:p>
      <w:pPr>
        <w:pStyle w:val="BodyText"/>
      </w:pPr>
      <w:r>
        <w:t xml:space="preserve">+7.8%</w:t>
      </w:r>
    </w:p>
    <w:p>
      <w:pPr>
        <w:pStyle w:val="BodyText"/>
      </w:pPr>
      <w:r>
        <w:t xml:space="preserve">These figures demonstrate exceptional traction in Indonesia Jakarta's competitive consulting market. The 33.3% increase in new clients directly correlates with our localized approach—our Jakarta Business Consultant team now offers Malay-language client onboarding and culturally attuned service delivery, addressing a critical gap identified in prior market research.</w:t>
      </w:r>
    </w:p>
    <w:bookmarkEnd w:id="22"/>
    <w:bookmarkStart w:id="23" w:name="X8a23e1839f679cbf8c9637991c4d705d4946443"/>
    <w:p>
      <w:pPr>
        <w:pStyle w:val="Heading2"/>
      </w:pPr>
      <w:r>
        <w:t xml:space="preserve">Client Acquisition Breakdown: Jakarta Focus</w:t>
      </w:r>
    </w:p>
    <w:p>
      <w:pPr>
        <w:pStyle w:val="FirstParagraph"/>
      </w:pPr>
      <w:r>
        <w:t xml:space="preserve">Top 5 sectors driving new business in Indonesia Jakarta:</w:t>
      </w:r>
    </w:p>
    <w:p>
      <w:pPr>
        <w:numPr>
          <w:ilvl w:val="0"/>
          <w:numId w:val="1001"/>
        </w:numPr>
        <w:pStyle w:val="Compact"/>
      </w:pPr>
      <w:r>
        <w:rPr>
          <w:bCs/>
          <w:b/>
        </w:rPr>
        <w:t xml:space="preserve">Fintech &amp; Digital Banking (38% of new contracts)</w:t>
      </w:r>
      <w:r>
        <w:t xml:space="preserve">: Following Bank Indonesia's digitalization mandate, startups like Kredivo and Bibit sought our Business Consultant expertise to optimize regulatory compliance and scalability.</w:t>
      </w:r>
    </w:p>
    <w:p>
      <w:pPr>
        <w:numPr>
          <w:ilvl w:val="0"/>
          <w:numId w:val="1001"/>
        </w:numPr>
        <w:pStyle w:val="Compact"/>
      </w:pPr>
      <w:r>
        <w:rPr>
          <w:bCs/>
          <w:b/>
        </w:rPr>
        <w:t xml:space="preserve">Manufacturing (25%)</w:t>
      </w:r>
      <w:r>
        <w:t xml:space="preserve">: Local manufacturers required Business Consultant support for supply chain resilience post-pandemic disruptions.</w:t>
      </w:r>
    </w:p>
    <w:p>
      <w:pPr>
        <w:numPr>
          <w:ilvl w:val="0"/>
          <w:numId w:val="1001"/>
        </w:numPr>
        <w:pStyle w:val="Compact"/>
      </w:pPr>
      <w:r>
        <w:rPr>
          <w:bCs/>
          <w:b/>
        </w:rPr>
        <w:t xml:space="preserve">Retail &amp; E-commerce (20%)</w:t>
      </w:r>
      <w:r>
        <w:t xml:space="preserve">: Major chains like Matahari Department Store engaged our Jakarta-based team to redesign omnichannel strategies amid rising consumer digitalization.</w:t>
      </w:r>
    </w:p>
    <w:p>
      <w:pPr>
        <w:numPr>
          <w:ilvl w:val="0"/>
          <w:numId w:val="1001"/>
        </w:numPr>
        <w:pStyle w:val="Compact"/>
      </w:pPr>
      <w:r>
        <w:rPr>
          <w:bCs/>
          <w:b/>
        </w:rPr>
        <w:t xml:space="preserve">Healthcare (12%)</w:t>
      </w:r>
      <w:r>
        <w:t xml:space="preserve">: Hospital networks expanded after Indonesia's healthcare reform, needing Business Consultant insights on operational efficiency.</w:t>
      </w:r>
    </w:p>
    <w:p>
      <w:pPr>
        <w:numPr>
          <w:ilvl w:val="0"/>
          <w:numId w:val="1001"/>
        </w:numPr>
        <w:pStyle w:val="Compact"/>
      </w:pPr>
      <w:r>
        <w:rPr>
          <w:bCs/>
          <w:b/>
        </w:rPr>
        <w:t xml:space="preserve">SME Growth Programs (5%)</w:t>
      </w:r>
      <w:r>
        <w:t xml:space="preserve">: Government-backed SME initiatives created demand for our Jakarta Business Consultant team to deliver subsidized strategic planning.</w:t>
      </w:r>
    </w:p>
    <w:bookmarkEnd w:id="23"/>
    <w:bookmarkStart w:id="24" w:name="X091fc7b4a9a506f08566958b024e29f4060ee35"/>
    <w:p>
      <w:pPr>
        <w:pStyle w:val="Heading2"/>
      </w:pPr>
      <w:r>
        <w:t xml:space="preserve">Strategic Differentiation in Indonesia Jakarta</w:t>
      </w:r>
    </w:p>
    <w:p>
      <w:pPr>
        <w:pStyle w:val="FirstParagraph"/>
      </w:pPr>
      <w:r>
        <w:t xml:space="preserve">Our success stems from three pillars unique to the Jakarta market:</w:t>
      </w:r>
    </w:p>
    <w:p>
      <w:pPr>
        <w:numPr>
          <w:ilvl w:val="0"/>
          <w:numId w:val="1002"/>
        </w:numPr>
        <w:pStyle w:val="Compact"/>
      </w:pPr>
      <w:r>
        <w:rPr>
          <w:bCs/>
          <w:b/>
        </w:rPr>
        <w:t xml:space="preserve">Cultural Intelligence Integration:</w:t>
      </w:r>
      <w:r>
        <w:t xml:space="preserve"> </w:t>
      </w:r>
      <w:r>
        <w:t xml:space="preserve">All Business Consultant engagements include "Jakarta Business Etiquette" training for our consultants, ensuring seamless stakeholder alignment with local decision-making hierarchies.</w:t>
      </w:r>
    </w:p>
    <w:p>
      <w:pPr>
        <w:numPr>
          <w:ilvl w:val="0"/>
          <w:numId w:val="1002"/>
        </w:numPr>
        <w:pStyle w:val="Compact"/>
      </w:pPr>
      <w:r>
        <w:rPr>
          <w:bCs/>
          <w:b/>
        </w:rPr>
        <w:t xml:space="preserve">Regulatory Navigation Expertise:</w:t>
      </w:r>
      <w:r>
        <w:t xml:space="preserve"> </w:t>
      </w:r>
      <w:r>
        <w:t xml:space="preserve">Our Jakarta office maintains direct liaison with BKPM (Investment Coordinating Board) to provide real-time compliance guidance—critical for foreign investors entering Indonesia.</w:t>
      </w:r>
    </w:p>
    <w:bookmarkEnd w:id="24"/>
    <w:bookmarkStart w:id="25" w:name="challenges-mitigation-strategies"/>
    <w:p>
      <w:pPr>
        <w:pStyle w:val="Heading2"/>
      </w:pPr>
      <w:r>
        <w:t xml:space="preserve">Challenges &amp; Mitigation Strategies</w:t>
      </w:r>
    </w:p>
    <w:p>
      <w:pPr>
        <w:pStyle w:val="FirstParagraph"/>
      </w:pPr>
      <w:r>
        <w:t xml:space="preserve">Despite strong growth, three Jakarta-specific challenges emerged:</w:t>
      </w:r>
    </w:p>
    <w:p>
      <w:pPr>
        <w:numPr>
          <w:ilvl w:val="0"/>
          <w:numId w:val="1003"/>
        </w:numPr>
        <w:pStyle w:val="Compact"/>
      </w:pPr>
      <w:r>
        <w:rPr>
          <w:bCs/>
          <w:b/>
        </w:rPr>
        <w:t xml:space="preserve">Regulatory Volatility:</w:t>
      </w:r>
      <w:r>
        <w:t xml:space="preserve"> </w:t>
      </w:r>
      <w:r>
        <w:t xml:space="preserve">Frequent policy shifts in digital taxation (e.g., new e-commerce VAT rules) required rapid Business Consultant adaptation. *Mitigation:* Created real-time compliance dashboard accessible to all consultants.</w:t>
      </w:r>
    </w:p>
    <w:p>
      <w:pPr>
        <w:numPr>
          <w:ilvl w:val="0"/>
          <w:numId w:val="1003"/>
        </w:numPr>
        <w:pStyle w:val="Compact"/>
      </w:pPr>
      <w:r>
        <w:rPr>
          <w:bCs/>
          <w:b/>
        </w:rPr>
        <w:t xml:space="preserve">Talent Retention:</w:t>
      </w:r>
      <w:r>
        <w:t xml:space="preserve"> </w:t>
      </w:r>
      <w:r>
        <w:t xml:space="preserve">High competition for skilled consultants in Jakarta increased turnover risk. *Mitigation:* Launched "Jakarta Talent Accelerator" program offering cultural competency certifications and local market leadership pathways.</w:t>
      </w:r>
    </w:p>
    <w:p>
      <w:pPr>
        <w:numPr>
          <w:ilvl w:val="0"/>
          <w:numId w:val="1003"/>
        </w:numPr>
        <w:pStyle w:val="Compact"/>
      </w:pPr>
      <w:r>
        <w:rPr>
          <w:bCs/>
          <w:b/>
        </w:rPr>
        <w:t xml:space="preserve">Client Expectation Mismatches:</w:t>
      </w:r>
      <w:r>
        <w:t xml:space="preserve"> </w:t>
      </w:r>
      <w:r>
        <w:t xml:space="preserve">Some clients expected Western-style consulting speed, overlooking Indonesia Jakarta's consensus-based decision cycles. *Mitigation:* Implemented mandatory "Jakarta Engagement Protocols" for all new contracts.</w:t>
      </w:r>
    </w:p>
    <w:bookmarkEnd w:id="25"/>
    <w:bookmarkStart w:id="26" w:name="strategic-recommendations-for-q4-2023"/>
    <w:p>
      <w:pPr>
        <w:pStyle w:val="Heading2"/>
      </w:pPr>
      <w:r>
        <w:t xml:space="preserve">Strategic Recommendations for Q4 2023</w:t>
      </w:r>
    </w:p>
    <w:p>
      <w:pPr>
        <w:pStyle w:val="FirstParagraph"/>
      </w:pPr>
      <w:r>
        <w:t xml:space="preserve">To capitalize on Indonesia Jakarta's growth trajectory, we recommend:</w:t>
      </w:r>
    </w:p>
    <w:p>
      <w:pPr>
        <w:numPr>
          <w:ilvl w:val="0"/>
          <w:numId w:val="1004"/>
        </w:numPr>
        <w:pStyle w:val="Compact"/>
      </w:pPr>
      <w:r>
        <w:rPr>
          <w:bCs/>
          <w:b/>
        </w:rPr>
        <w:t xml:space="preserve">Launch "Jakarta Digital Transformation" Package:</w:t>
      </w:r>
      <w:r>
        <w:t xml:space="preserve"> </w:t>
      </w:r>
      <w:r>
        <w:t xml:space="preserve">Bundle our Business Consultant services with localized tech implementation (e.g., Gojek-style logistics integration). Target 15 new fintech clients by Q1 2024.</w:t>
      </w:r>
    </w:p>
    <w:p>
      <w:pPr>
        <w:numPr>
          <w:ilvl w:val="0"/>
          <w:numId w:val="1004"/>
        </w:numPr>
        <w:pStyle w:val="Compact"/>
      </w:pPr>
      <w:r>
        <w:rPr>
          <w:bCs/>
          <w:b/>
        </w:rPr>
        <w:t xml:space="preserve">Expand Government Partnerships:</w:t>
      </w:r>
      <w:r>
        <w:t xml:space="preserve"> </w:t>
      </w:r>
      <w:r>
        <w:t xml:space="preserve">Collaborate with Jakarta Provincial Government on SME development initiatives—aligning with Governor Anies Baswedan's "Jakarta Smart City" vision to secure 3-5 government contracts.</w:t>
      </w:r>
    </w:p>
    <w:bookmarkEnd w:id="26"/>
    <w:bookmarkStart w:id="27" w:name="conclusion"/>
    <w:p>
      <w:pPr>
        <w:pStyle w:val="Heading2"/>
      </w:pPr>
      <w:r>
        <w:t xml:space="preserve">Conclusion</w:t>
      </w:r>
    </w:p>
    <w:p>
      <w:pPr>
        <w:pStyle w:val="FirstParagraph"/>
      </w:pPr>
      <w:r>
        <w:t xml:space="preserve">The Indonesia Jakarta market has cemented itself as the cornerstone of our Southeast Asia growth strategy. This Sales Report confirms that our tailored Business Consultant approach—rooted in Jakarta's unique economic and cultural fabric—delivers superior outcomes versus generic consulting models. With 89% client retention and 17% revenue growth, we are positioned to capture greater market share as Indonesia Jakarta solidifies its status as ASEAN's premier business destination. The future of Business Consultant services in this dynamic market lies not merely in expertise, but in cultural fluency, regulatory foresight, and unwavering commitment to Jakarta's economic evolution. We recommend doubling down on hyper-localized service architecture to maintain our competitive edge as Indonesia Jakarta continues its remarkable trajectory.</w:t>
      </w:r>
    </w:p>
    <w:p>
      <w:pPr>
        <w:pStyle w:val="BodyText"/>
      </w:pPr>
      <w:r>
        <w:rPr>
          <w:bCs/>
          <w:b/>
        </w:rPr>
        <w:t xml:space="preserve">Appendix: Key Jakarta Market Metrics (Source: BPS Indonesia &amp; JIPA)</w:t>
      </w:r>
    </w:p>
    <w:p>
      <w:pPr>
        <w:numPr>
          <w:ilvl w:val="0"/>
          <w:numId w:val="1005"/>
        </w:numPr>
        <w:pStyle w:val="Compact"/>
      </w:pPr>
      <w:r>
        <w:t xml:space="preserve">Business Registration Growth: +14.7% YoY in Jakarta</w:t>
      </w:r>
    </w:p>
    <w:p>
      <w:pPr>
        <w:numPr>
          <w:ilvl w:val="0"/>
          <w:numId w:val="1005"/>
        </w:numPr>
        <w:pStyle w:val="Compact"/>
      </w:pPr>
      <w:r>
        <w:t xml:space="preserve">Foreign Investment Inflows (Q3): $2.3B (Up 28% YoY)</w:t>
      </w:r>
    </w:p>
    <w:p>
      <w:pPr>
        <w:numPr>
          <w:ilvl w:val="0"/>
          <w:numId w:val="1005"/>
        </w:numPr>
        <w:pStyle w:val="Compact"/>
      </w:pPr>
      <w:r>
        <w:t xml:space="preserve">Startup Funding: $1.8B in Q3, led by Jakarta-based companies</w:t>
      </w:r>
    </w:p>
    <w:p>
      <w:pPr>
        <w:pStyle w:val="FirstParagraph"/>
      </w:pPr>
      <w:r>
        <w:rPr>
          <w:iCs/>
          <w:i/>
        </w:rPr>
        <w:t xml:space="preserve">This Sales Report was compiled with data exclusively from Indonesia Jakarta operations. All strategic references align with local business practices and market realities.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Indonesia Jakarta</dc:title>
  <dc:creator/>
  <dc:language>en</dc:language>
  <cp:keywords/>
  <dcterms:created xsi:type="dcterms:W3CDTF">2026-07-24T10:19:32Z</dcterms:created>
  <dcterms:modified xsi:type="dcterms:W3CDTF">2026-07-24T10:19:32Z</dcterms:modified>
</cp:coreProperties>
</file>

<file path=docProps/custom.xml><?xml version="1.0" encoding="utf-8"?>
<Properties xmlns="http://schemas.openxmlformats.org/officeDocument/2006/custom-properties" xmlns:vt="http://schemas.openxmlformats.org/officeDocument/2006/docPropsVTypes"/>
</file>