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p>
    <w:bookmarkStart w:id="27" w:name="X215f9b68172f895ec98179de6068f1bee3f78cb"/>
    <w:p>
      <w:pPr>
        <w:pStyle w:val="Heading1"/>
      </w:pPr>
      <w:r>
        <w:t xml:space="preserve">Quarterly Sales Report: Business Consultant Services in Iran Tehran</w:t>
      </w:r>
    </w:p>
    <w:p>
      <w:pPr>
        <w:pStyle w:val="FirstParagraph"/>
      </w:pPr>
      <w:r>
        <w:rPr>
          <w:bCs/>
          <w:b/>
        </w:rPr>
        <w:t xml:space="preserve">Prepared For:</w:t>
      </w:r>
      <w:r>
        <w:t xml:space="preserve"> </w:t>
      </w:r>
      <w:r>
        <w:t xml:space="preserve">Executive Leadership, Global Consulting Division</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of our Business Consultant services within the dynamic commercial landscape of Iran Tehran. The quarter witnessed a significant 32% year-over-year growth in service engagements, driven by heightened demand for strategic advisory solutions among Tehran-based enterprises navigating complex economic conditions. Our team of specialized Business Consultants has successfully delivered tailored strategies to 47 new clients across key sectors including manufacturing, energy, and emerging digital startups within Iran Tehran. This report underscores the critical role of localized business consultancy in unlocking growth potential amid Iran's evolving market environment.</w:t>
      </w:r>
    </w:p>
    <w:bookmarkEnd w:id="20"/>
    <w:bookmarkStart w:id="21" w:name="X64a4a3ddb5fd2491945ac1eeb1ec8635e59f9c1"/>
    <w:p>
      <w:pPr>
        <w:pStyle w:val="Heading2"/>
      </w:pPr>
      <w:r>
        <w:t xml:space="preserve">Iran Tehran Market Analysis: Demand Drivers</w:t>
      </w:r>
    </w:p>
    <w:p>
      <w:pPr>
        <w:pStyle w:val="FirstParagraph"/>
      </w:pPr>
      <w:r>
        <w:t xml:space="preserve">Tehran remains the undisputed economic engine of Iran, housing 38% of the nation's corporate headquarters and driving 45% of national GDP. Our sales data confirms that Iranian businesses in Tehran face three critical challenges requiring expert Business Consultant intervention:</w:t>
      </w:r>
    </w:p>
    <w:p>
      <w:pPr>
        <w:numPr>
          <w:ilvl w:val="0"/>
          <w:numId w:val="1001"/>
        </w:numPr>
        <w:pStyle w:val="Compact"/>
      </w:pPr>
      <w:r>
        <w:rPr>
          <w:bCs/>
          <w:b/>
        </w:rPr>
        <w:t xml:space="preserve">Regulatory Navigation:</w:t>
      </w:r>
      <w:r>
        <w:t xml:space="preserve"> </w:t>
      </w:r>
      <w:r>
        <w:t xml:space="preserve">Complex compliance frameworks across Iran's dual economic system necessitate specialized guidance. Our Business Consultants reduced client onboarding timelines by 63% through mastery of Iran’s Ministry of Commerce and Economic Sanctions protocols.</w:t>
      </w:r>
    </w:p>
    <w:p>
      <w:pPr>
        <w:numPr>
          <w:ilvl w:val="0"/>
          <w:numId w:val="1001"/>
        </w:numPr>
        <w:pStyle w:val="Compact"/>
      </w:pPr>
      <w:r>
        <w:rPr>
          <w:bCs/>
          <w:b/>
        </w:rPr>
        <w:t xml:space="preserve">Export Market Expansion:</w:t>
      </w:r>
      <w:r>
        <w:t xml:space="preserve"> </w:t>
      </w:r>
      <w:r>
        <w:t xml:space="preserve">Tehran-based manufacturers seek to penetrate GCC and Southeast Asian markets. Business Consultant-led market entry strategies secured $8.2M in new export contracts for 19 clients this quarter.</w:t>
      </w:r>
    </w:p>
    <w:p>
      <w:pPr>
        <w:numPr>
          <w:ilvl w:val="0"/>
          <w:numId w:val="1001"/>
        </w:numPr>
        <w:pStyle w:val="Compact"/>
      </w:pPr>
      <w:r>
        <w:rPr>
          <w:bCs/>
          <w:b/>
        </w:rPr>
        <w:t xml:space="preserve">Digital Transformation:</w:t>
      </w:r>
      <w:r>
        <w:t xml:space="preserve"> </w:t>
      </w:r>
      <w:r>
        <w:t xml:space="preserve">74% of Tehran SMEs prioritized operational digitization, yet lacked internal expertise. Our consultant team delivered AI-driven supply chain solutions for 32 automotive suppliers, reducing costs by average 22%.</w:t>
      </w:r>
    </w:p>
    <w:bookmarkEnd w:id="21"/>
    <w:bookmarkStart w:id="22" w:name="service-performance-client-acquisition"/>
    <w:p>
      <w:pPr>
        <w:pStyle w:val="Heading2"/>
      </w:pPr>
      <w:r>
        <w:t xml:space="preserve">Service Performance &amp; Client Acquisition</w:t>
      </w:r>
    </w:p>
    <w:p>
      <w:pPr>
        <w:pStyle w:val="FirstParagraph"/>
      </w:pPr>
      <w:r>
        <w:t xml:space="preserve">The sales pipeline for Business Consultant services in Iran Tehran demonstrated exceptional quality conversion (41% close rate vs. industry average of 28%). Key performance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New Clients (Q3)</w:t>
            </w:r>
          </w:p>
        </w:tc>
        <w:tc>
          <w:tcPr/>
          <w:p>
            <w:pPr>
              <w:pStyle w:val="Compact"/>
              <w:jc w:val="left"/>
            </w:pPr>
            <w:r>
              <w:t xml:space="preserve">Average Contract Value</w:t>
            </w:r>
          </w:p>
        </w:tc>
        <w:tc>
          <w:tcPr/>
          <w:p>
            <w:pPr>
              <w:pStyle w:val="Compact"/>
              <w:jc w:val="left"/>
            </w:pPr>
            <w:r>
              <w:t xml:space="preserve">Key Tehran Industries Served</w:t>
            </w:r>
          </w:p>
        </w:tc>
      </w:tr>
      <w:tr>
        <w:tc>
          <w:tcPr/>
          <w:p>
            <w:pPr>
              <w:pStyle w:val="Compact"/>
              <w:jc w:val="left"/>
            </w:pPr>
            <w:r>
              <w:t xml:space="preserve">Strategic Market Entry (Iran &amp; International)</w:t>
            </w:r>
          </w:p>
        </w:tc>
        <w:tc>
          <w:tcPr/>
          <w:p>
            <w:pPr>
              <w:pStyle w:val="Compact"/>
              <w:jc w:val="left"/>
            </w:pPr>
            <w:r>
              <w:t xml:space="preserve">18</w:t>
            </w:r>
          </w:p>
        </w:tc>
        <w:tc>
          <w:tcPr/>
          <w:p>
            <w:pPr>
              <w:pStyle w:val="Compact"/>
              <w:jc w:val="left"/>
            </w:pPr>
            <w:r>
              <w:t xml:space="preserve">$45,000 USD</w:t>
            </w:r>
          </w:p>
        </w:tc>
        <w:tc>
          <w:tcPr/>
          <w:p>
            <w:pPr>
              <w:pStyle w:val="Compact"/>
              <w:jc w:val="left"/>
            </w:pPr>
            <w:r>
              <w:t xml:space="preserve">Petrochemical, Textiles, Agri-tech</w:t>
            </w:r>
          </w:p>
        </w:tc>
      </w:tr>
      <w:tr>
        <w:tc>
          <w:tcPr/>
          <w:p>
            <w:pPr>
              <w:pStyle w:val="Compact"/>
              <w:jc w:val="left"/>
            </w:pPr>
            <w:r>
              <w:t xml:space="preserve">Operational Efficiency Optimization</w:t>
            </w:r>
          </w:p>
        </w:tc>
        <w:tc>
          <w:tcPr/>
          <w:p>
            <w:pPr>
              <w:pStyle w:val="Compact"/>
              <w:jc w:val="left"/>
            </w:pPr>
            <w:r>
              <w:t xml:space="preserve">15</w:t>
            </w:r>
          </w:p>
        </w:tc>
        <w:tc>
          <w:tcPr/>
          <w:p>
            <w:pPr>
              <w:pStyle w:val="Compact"/>
              <w:jc w:val="left"/>
            </w:pPr>
            <w:r>
              <w:t xml:space="preserve">$38,500 USD</w:t>
            </w:r>
          </w:p>
        </w:tc>
        <w:tc>
          <w:tcPr/>
          <w:p>
            <w:pPr>
              <w:pStyle w:val="Compact"/>
              <w:jc w:val="left"/>
            </w:pPr>
            <w:r>
              <w:t xml:space="preserve">Tehran Manufacturing Cluster</w:t>
            </w:r>
          </w:p>
        </w:tc>
      </w:tr>
      <w:tr>
        <w:tc>
          <w:tcPr/>
          <w:p>
            <w:pPr>
              <w:pStyle w:val="Compact"/>
              <w:jc w:val="left"/>
            </w:pPr>
            <w:r>
              <w:t xml:space="preserve">Digital Transformation Roadmapping</w:t>
            </w:r>
          </w:p>
        </w:tc>
        <w:tc>
          <w:tcPr/>
          <w:p>
            <w:pPr>
              <w:pStyle w:val="Compact"/>
              <w:jc w:val="left"/>
            </w:pPr>
            <w:r>
              <w:t xml:space="preserve">14</w:t>
            </w:r>
          </w:p>
        </w:tc>
        <w:tc>
          <w:tcPr/>
          <w:p>
            <w:pPr>
              <w:pStyle w:val="Compact"/>
              <w:jc w:val="left"/>
            </w:pPr>
            <w:r>
              <w:t xml:space="preserve">$52,700 USD</w:t>
            </w:r>
          </w:p>
        </w:tc>
        <w:tc>
          <w:tcPr/>
          <w:p>
            <w:pPr>
              <w:pStyle w:val="Compact"/>
              <w:jc w:val="left"/>
            </w:pPr>
            <w:r>
              <w:t xml:space="preserve">Tehran Fintech &amp; E-commerce Startups</w:t>
            </w:r>
          </w:p>
        </w:tc>
      </w:tr>
    </w:tbl>
    <w:bookmarkEnd w:id="22"/>
    <w:bookmarkStart w:id="23" w:name="Xa07419da71f6faf213f11bbeb87865a72d8cccf"/>
    <w:p>
      <w:pPr>
        <w:pStyle w:val="Heading2"/>
      </w:pPr>
      <w:r>
        <w:t xml:space="preserve">Case Study: Business Consultant Impact in Tehran Manufacturing Sector</w:t>
      </w:r>
    </w:p>
    <w:p>
      <w:pPr>
        <w:pStyle w:val="FirstParagraph"/>
      </w:pPr>
      <w:r>
        <w:t xml:space="preserve">Client: Pars Industrial Group (Tehran-based automotive parts manufacturer)</w:t>
      </w:r>
    </w:p>
    <w:p>
      <w:pPr>
        <w:pStyle w:val="BodyText"/>
      </w:pPr>
      <w:r>
        <w:rPr>
          <w:bCs/>
          <w:b/>
        </w:rPr>
        <w:t xml:space="preserve">Challenge:</w:t>
      </w:r>
      <w:r>
        <w:t xml:space="preserve"> </w:t>
      </w:r>
      <w:r>
        <w:t xml:space="preserve">18% revenue decline due to inefficient supply chain and export bottlenecks to European markets.</w:t>
      </w:r>
    </w:p>
    <w:p>
      <w:pPr>
        <w:pStyle w:val="BodyText"/>
      </w:pPr>
      <w:r>
        <w:rPr>
          <w:bCs/>
          <w:b/>
        </w:rPr>
        <w:t xml:space="preserve">Business Consultant Intervention:</w:t>
      </w:r>
    </w:p>
    <w:p>
      <w:pPr>
        <w:numPr>
          <w:ilvl w:val="0"/>
          <w:numId w:val="1002"/>
        </w:numPr>
        <w:pStyle w:val="Compact"/>
      </w:pPr>
      <w:r>
        <w:t xml:space="preserve">Conducted on-site operations audit across Tehran production facilities</w:t>
      </w:r>
    </w:p>
    <w:p>
      <w:pPr>
        <w:numPr>
          <w:ilvl w:val="0"/>
          <w:numId w:val="1002"/>
        </w:numPr>
        <w:pStyle w:val="Compact"/>
      </w:pPr>
      <w:r>
        <w:t xml:space="preserve">Redesigned logistics network using Iran’s new customs digital platform (IRIS)</w:t>
      </w:r>
    </w:p>
    <w:p>
      <w:pPr>
        <w:numPr>
          <w:ilvl w:val="0"/>
          <w:numId w:val="1002"/>
        </w:numPr>
        <w:pStyle w:val="Compact"/>
      </w:pPr>
      <w:r>
        <w:t xml:space="preserve">Negotiated preferential tariffs with EU partners via Tehran Chamber of Commerce liaison</w:t>
      </w:r>
    </w:p>
    <w:p>
      <w:pPr>
        <w:pStyle w:val="FirstParagraph"/>
      </w:pPr>
      <w:r>
        <w:rPr>
          <w:bCs/>
          <w:b/>
        </w:rPr>
        <w:t xml:space="preserve">Results:</w:t>
      </w:r>
      <w:r>
        <w:t xml:space="preserve"> </w:t>
      </w:r>
      <w:r>
        <w:t xml:space="preserve">31% reduction in delivery lead times, 27% increase in European export revenue within 6 months. Client retained our Business Consultant services for a multi-year strategic partnership. This case exemplifies how localized expertise delivers tangible ROI in Iran Tehran's complex trade ecosystem.</w:t>
      </w:r>
    </w:p>
    <w:bookmarkEnd w:id="23"/>
    <w:bookmarkStart w:id="24" w:name="tehran-specific-strategic-insights"/>
    <w:p>
      <w:pPr>
        <w:pStyle w:val="Heading2"/>
      </w:pPr>
      <w:r>
        <w:t xml:space="preserve">Tehran-Specific Strategic Insights</w:t>
      </w:r>
    </w:p>
    <w:p>
      <w:pPr>
        <w:pStyle w:val="FirstParagraph"/>
      </w:pPr>
      <w:r>
        <w:t xml:space="preserve">Our Sales Report analysis reveals that successful business consultancy in Iran Tehran requires cultural and operational nuance:</w:t>
      </w:r>
    </w:p>
    <w:p>
      <w:pPr>
        <w:numPr>
          <w:ilvl w:val="0"/>
          <w:numId w:val="1003"/>
        </w:numPr>
        <w:pStyle w:val="Compact"/>
      </w:pPr>
      <w:r>
        <w:rPr>
          <w:bCs/>
          <w:b/>
        </w:rPr>
        <w:t xml:space="preserve">Relationship-Centric Engagement:</w:t>
      </w:r>
      <w:r>
        <w:t xml:space="preserve"> </w:t>
      </w:r>
      <w:r>
        <w:t xml:space="preserve">89% of Tehran clients emphasized "trust-building" as critical to consultant selection. Our team's practice of hosting bi-weekly networking sessions at Tehran Business Forum (TBF) generated 34 qualified leads.</w:t>
      </w:r>
    </w:p>
    <w:p>
      <w:pPr>
        <w:numPr>
          <w:ilvl w:val="0"/>
          <w:numId w:val="1003"/>
        </w:numPr>
        <w:pStyle w:val="Compact"/>
      </w:pPr>
      <w:r>
        <w:rPr>
          <w:bCs/>
          <w:b/>
        </w:rPr>
        <w:t xml:space="preserve">Localized Data Frameworks:</w:t>
      </w:r>
      <w:r>
        <w:t xml:space="preserve"> </w:t>
      </w:r>
      <w:r>
        <w:t xml:space="preserve">We developed Iran-specific KPI dashboards tracking Tehran market indicators like TSE (Tehran Stock Exchange) volatility and local currency exchange rate impacts - unavailable in generic Western consulting models.</w:t>
      </w:r>
    </w:p>
    <w:p>
      <w:pPr>
        <w:numPr>
          <w:ilvl w:val="0"/>
          <w:numId w:val="1003"/>
        </w:numPr>
        <w:pStyle w:val="Compact"/>
      </w:pPr>
      <w:r>
        <w:rPr>
          <w:bCs/>
          <w:b/>
        </w:rPr>
        <w:t xml:space="preserve">Government Partnership Leverage:</w:t>
      </w:r>
      <w:r>
        <w:t xml:space="preserve"> </w:t>
      </w:r>
      <w:r>
        <w:t xml:space="preserve">Business Consultants with verified Ministry of Commerce accreditation secured 67% of new contracts, demonstrating the importance of official recognition in Iran's business environment.</w:t>
      </w:r>
    </w:p>
    <w:bookmarkEnd w:id="24"/>
    <w:bookmarkStart w:id="25" w:name="future-outlook-strategic-recommendations"/>
    <w:p>
      <w:pPr>
        <w:pStyle w:val="Heading2"/>
      </w:pPr>
      <w:r>
        <w:t xml:space="preserve">Future Outlook &amp; Strategic Recommendations</w:t>
      </w:r>
    </w:p>
    <w:p>
      <w:pPr>
        <w:pStyle w:val="FirstParagraph"/>
      </w:pPr>
      <w:r>
        <w:t xml:space="preserve">The Sales Report forecasts sustained growth for Business Consultant services across Iran Tehran, with projected 38% market expansion by Q1 2024. Key recommendations include:</w:t>
      </w:r>
    </w:p>
    <w:p>
      <w:pPr>
        <w:numPr>
          <w:ilvl w:val="0"/>
          <w:numId w:val="1004"/>
        </w:numPr>
        <w:pStyle w:val="Compact"/>
      </w:pPr>
      <w:r>
        <w:rPr>
          <w:bCs/>
          <w:b/>
        </w:rPr>
        <w:t xml:space="preserve">Expand Tehran Digital Service Hub:</w:t>
      </w:r>
      <w:r>
        <w:t xml:space="preserve"> </w:t>
      </w:r>
      <w:r>
        <w:t xml:space="preserve">Establish dedicated office in Tehran's Farzanegan Business Park to accelerate on-ground support for clients.</w:t>
      </w:r>
    </w:p>
    <w:p>
      <w:pPr>
        <w:numPr>
          <w:ilvl w:val="0"/>
          <w:numId w:val="1004"/>
        </w:numPr>
        <w:pStyle w:val="Compact"/>
      </w:pPr>
      <w:r>
        <w:rPr>
          <w:bCs/>
          <w:b/>
        </w:rPr>
        <w:t xml:space="preserve">Pioneer Iran-Specific Certifications:</w:t>
      </w:r>
      <w:r>
        <w:t xml:space="preserve"> </w:t>
      </w:r>
      <w:r>
        <w:t xml:space="preserve">Develop "Tehran Market Compliance" certification for consultants - a differentiator in our competitive landscape.</w:t>
      </w:r>
    </w:p>
    <w:p>
      <w:pPr>
        <w:numPr>
          <w:ilvl w:val="0"/>
          <w:numId w:val="1004"/>
        </w:numPr>
        <w:pStyle w:val="Compact"/>
      </w:pPr>
      <w:r>
        <w:rPr>
          <w:bCs/>
          <w:b/>
        </w:rPr>
        <w:t xml:space="preserve">Target High-Growth Sectors:</w:t>
      </w:r>
      <w:r>
        <w:t xml:space="preserve"> </w:t>
      </w:r>
      <w:r>
        <w:t xml:space="preserve">Prioritize renewable energy and medical device manufacturing in Tehran, where regulatory support is accelerating.</w:t>
      </w:r>
    </w:p>
    <w:bookmarkEnd w:id="25"/>
    <w:bookmarkStart w:id="26" w:name="conclusion"/>
    <w:p>
      <w:pPr>
        <w:pStyle w:val="Heading2"/>
      </w:pPr>
      <w:r>
        <w:t xml:space="preserve">Conclusion</w:t>
      </w:r>
    </w:p>
    <w:p>
      <w:pPr>
        <w:pStyle w:val="FirstParagraph"/>
      </w:pPr>
      <w:r>
        <w:t xml:space="preserve">This Sales Report unequivocally demonstrates that specialized Business Consultant services have become indispensable for enterprise success within Iran Tehran. Our strategic focus on localized market intelligence, government relationship management, and culturally attuned execution delivers measurable value in a complex economic environment. The 32% QoQ growth validates our approach – not as generic consultants, but as partners deeply embedded in Iran's commercial ecosystem.</w:t>
      </w:r>
    </w:p>
    <w:p>
      <w:pPr>
        <w:pStyle w:val="BodyText"/>
      </w:pPr>
      <w:r>
        <w:t xml:space="preserve">As Tehran continues to position itself as a regional innovation hub despite global headwinds, the demand for expert Business Consultant guidance will intensify. Our team’s proven ability to navigate Iran's unique business landscape positions us uniquely for sustained growth. We recommend doubling our Tehran-based consultant capacity in Q4 2023 to capture emerging opportunities in digital trade corridors and post-sanction market openings.</w:t>
      </w:r>
    </w:p>
    <w:p>
      <w:pPr>
        <w:pStyle w:val="BodyText"/>
      </w:pPr>
      <w:r>
        <w:rPr>
          <w:bCs/>
          <w:b/>
        </w:rPr>
        <w:t xml:space="preserve">Prepared By:</w:t>
      </w:r>
      <w:r>
        <w:t xml:space="preserve"> </w:t>
      </w:r>
      <w:r>
        <w:t xml:space="preserve">Global Business Development Team</w:t>
      </w:r>
      <w:r>
        <w:br/>
      </w:r>
      <w:r>
        <w:rPr>
          <w:bCs/>
          <w:b/>
        </w:rPr>
        <w:t xml:space="preserve">Business Consultant Services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Iran Tehran Market</dc:title>
  <dc:creator/>
  <dc:language>en</dc:language>
  <cp:keywords/>
  <dcterms:created xsi:type="dcterms:W3CDTF">2026-07-21T06:00:24Z</dcterms:created>
  <dcterms:modified xsi:type="dcterms:W3CDTF">2026-07-21T06:00:24Z</dcterms:modified>
</cp:coreProperties>
</file>

<file path=docProps/custom.xml><?xml version="1.0" encoding="utf-8"?>
<Properties xmlns="http://schemas.openxmlformats.org/officeDocument/2006/custom-properties" xmlns:vt="http://schemas.openxmlformats.org/officeDocument/2006/docPropsVTypes"/>
</file>