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Japan</w:t>
      </w:r>
      <w:r>
        <w:t xml:space="preserve"> </w:t>
      </w:r>
      <w:r>
        <w:t xml:space="preserve">Kyoto</w:t>
      </w:r>
      <w:r>
        <w:t xml:space="preserve"> </w:t>
      </w:r>
      <w:r>
        <w:t xml:space="preserve">Market</w:t>
      </w:r>
    </w:p>
    <w:bookmarkStart w:id="29" w:name="X3774da4307ceff80f7c8d343135ef04c51b8008"/>
    <w:p>
      <w:pPr>
        <w:pStyle w:val="Heading1"/>
      </w:pPr>
      <w:r>
        <w:t xml:space="preserve">Sales Report: Strategic Business Consulting Excellence in Japan Kyoto (Q3 2024)</w:t>
      </w:r>
    </w:p>
    <w:bookmarkStart w:id="20" w:name="executive-summary"/>
    <w:p>
      <w:pPr>
        <w:pStyle w:val="Heading2"/>
      </w:pPr>
      <w:r>
        <w:t xml:space="preserve">Executive Summary</w:t>
      </w:r>
    </w:p>
    <w:p>
      <w:pPr>
        <w:pStyle w:val="FirstParagraph"/>
      </w:pPr>
      <w:r>
        <w:t xml:space="preserve">This comprehensive Sales Report details the performance of our premium Business Consultant services within the dynamic economic landscape of Kyoto, Japan. As we conclude the third quarter of 2024, our consultancy has achieved remarkable growth in Kyoto's specialized market segment, with a 37% year-over-year increase in revenue and a 92% client retention rate. This success underscores Kyoto's evolving business ecosystem and our tailored approach to solving region-specific challenges. The report demonstrates how our Business Consultant expertise has become indispensable for enterprises navigating Japan's unique cultural, regulatory, and market conditions within Kyoto.</w:t>
      </w:r>
    </w:p>
    <w:bookmarkEnd w:id="20"/>
    <w:bookmarkStart w:id="21" w:name="Xb90dfd959b5dd436028a3152fcb5c36f047de0f"/>
    <w:p>
      <w:pPr>
        <w:pStyle w:val="Heading2"/>
      </w:pPr>
      <w:r>
        <w:t xml:space="preserve">Market Context: Kyoto's Strategic Business Environment</w:t>
      </w:r>
    </w:p>
    <w:p>
      <w:pPr>
        <w:pStyle w:val="FirstParagraph"/>
      </w:pPr>
      <w:r>
        <w:t xml:space="preserve">Kyoto represents a vital economic hub where traditional Japanese business values intersect with modern innovation. As Japan's cultural heartland and a UNESCO World Heritage site, Kyoto hosts over 15,000 small-to-medium enterprises (SMEs) operating in tourism, hospitality, craft manufacturing, and technology sectors. However, these businesses face distinct challenges: navigating complex local regulations (especially regarding heritage preservation), adapting to seasonal tourism fluctuations (peak visitor numbers up 23% YoY), and integrating digital transformation without compromising Kyoto's cultural identity. Our Business Consultant team has developed specialized frameworks addressing these nuances, making us the preferred partner for Kyoto-based organizations seeking sustainable growth.</w:t>
      </w:r>
    </w:p>
    <w:bookmarkEnd w:id="21"/>
    <w:bookmarkStart w:id="22" w:name="key-sales-performance-metrics-q3-2024"/>
    <w:p>
      <w:pPr>
        <w:pStyle w:val="Heading2"/>
      </w:pPr>
      <w:r>
        <w:t xml:space="preserve">Key Sales Performance Metrics (Q3 2024)</w:t>
      </w:r>
    </w:p>
    <w:p>
      <w:pPr>
        <w:pStyle w:val="FirstParagraph"/>
      </w:pPr>
      <w:r>
        <w:t xml:space="preserve">Performance Indicator</w:t>
      </w:r>
    </w:p>
    <w:p>
      <w:pPr>
        <w:pStyle w:val="BodyText"/>
      </w:pPr>
      <w:r>
        <w:t xml:space="preserve">Q3 2024</w:t>
      </w:r>
    </w:p>
    <w:p>
      <w:pPr>
        <w:pStyle w:val="BodyText"/>
      </w:pPr>
      <w:r>
        <w:t xml:space="preserve">YoY Change</w:t>
      </w:r>
    </w:p>
    <w:p>
      <w:pPr>
        <w:pStyle w:val="BodyText"/>
      </w:pPr>
      <w:r>
        <w:t xml:space="preserve">Total Revenue (JPY)</w:t>
      </w:r>
    </w:p>
    <w:p>
      <w:pPr>
        <w:pStyle w:val="BodyText"/>
      </w:pPr>
      <w:r>
        <w:t xml:space="preserve">¥18,750,000</w:t>
      </w:r>
    </w:p>
    <w:p>
      <w:pPr>
        <w:pStyle w:val="BodyText"/>
      </w:pPr>
      <w:r>
        <w:t xml:space="preserve">+37.2%</w:t>
      </w:r>
    </w:p>
    <w:p>
      <w:pPr>
        <w:pStyle w:val="BodyText"/>
      </w:pPr>
      <w:r>
        <w:t xml:space="preserve">New Kyoto Client Acquisition</w:t>
      </w:r>
    </w:p>
    <w:p>
      <w:pPr>
        <w:pStyle w:val="BodyText"/>
      </w:pPr>
      <w:r>
        <w:t xml:space="preserve">24 companies</w:t>
      </w:r>
    </w:p>
    <w:p>
      <w:pPr>
        <w:pStyle w:val="BodyText"/>
      </w:pPr>
      <w:r>
        <w:t xml:space="preserve">+41.5%</w:t>
      </w:r>
    </w:p>
    <w:p>
      <w:pPr>
        <w:pStyle w:val="BodyText"/>
      </w:pPr>
      <w:r>
        <w:t xml:space="preserve">Average Contract Value (Kyoto)</w:t>
      </w:r>
    </w:p>
    <w:p>
      <w:pPr>
        <w:pStyle w:val="BodyText"/>
      </w:pPr>
      <w:r>
        <w:t xml:space="preserve">¥780,000</w:t>
      </w:r>
    </w:p>
    <w:p>
      <w:pPr>
        <w:pStyle w:val="BodyText"/>
      </w:pPr>
      <w:r>
        <w:t xml:space="preserve">+18.3%</w:t>
      </w:r>
    </w:p>
    <w:p>
      <w:pPr>
        <w:pStyle w:val="BodyText"/>
      </w:pPr>
      <w:r>
        <w:t xml:space="preserve">9.6/10</w:t>
      </w:r>
    </w:p>
    <w:p>
      <w:pPr>
        <w:pStyle w:val="BodyText"/>
      </w:pPr>
      <w:r>
        <w:t xml:space="preserve">+1.2 points YoY</w:t>
      </w:r>
    </w:p>
    <w:bookmarkEnd w:id="22"/>
    <w:bookmarkStart w:id="24" w:name="X996cd37cc5ac5cf6718831536403ac785a5a2c5"/>
    <w:p>
      <w:pPr>
        <w:pStyle w:val="Heading2"/>
      </w:pPr>
      <w:r>
        <w:t xml:space="preserve">Tailored Business Consultant Solutions for Kyoto Enterprises</w:t>
      </w:r>
    </w:p>
    <w:p>
      <w:pPr>
        <w:pStyle w:val="FirstParagraph"/>
      </w:pPr>
      <w:r>
        <w:t xml:space="preserve">Our success stems from deeply integrating Kyoto-specific market intelligence into every engagement. Unlike generic consulting firms, our Business Consultant specialists possess:</w:t>
      </w:r>
    </w:p>
    <w:p>
      <w:pPr>
        <w:numPr>
          <w:ilvl w:val="0"/>
          <w:numId w:val="1001"/>
        </w:numPr>
        <w:pStyle w:val="Compact"/>
      </w:pPr>
      <w:r>
        <w:rPr>
          <w:bCs/>
          <w:b/>
        </w:rPr>
        <w:t xml:space="preserve">Cultural Navigation Expertise:</w:t>
      </w:r>
      <w:r>
        <w:t xml:space="preserve"> </w:t>
      </w:r>
      <w:r>
        <w:t xml:space="preserve">Understanding of *wa* (harmony), *omotenashi* (hospitality), and *kintsugi* (repairing brokenness) principles in business strategy.</w:t>
      </w:r>
    </w:p>
    <w:p>
      <w:pPr>
        <w:numPr>
          <w:ilvl w:val="0"/>
          <w:numId w:val="1001"/>
        </w:numPr>
        <w:pStyle w:val="Compact"/>
      </w:pPr>
      <w:r>
        <w:rPr>
          <w:bCs/>
          <w:b/>
        </w:rPr>
        <w:t xml:space="preserve">Local Regulatory Proficiency:</w:t>
      </w:r>
      <w:r>
        <w:t xml:space="preserve"> </w:t>
      </w:r>
      <w:r>
        <w:t xml:space="preserve">Mastery of Kyoto’s unique municipal ordinances, including preservation district regulations for historic business districts like Gion and Nishiki Market.</w:t>
      </w:r>
    </w:p>
    <w:p>
      <w:pPr>
        <w:numPr>
          <w:ilvl w:val="0"/>
          <w:numId w:val="1001"/>
        </w:numPr>
        <w:pStyle w:val="Compact"/>
      </w:pPr>
      <w:r>
        <w:rPr>
          <w:bCs/>
          <w:b/>
        </w:rPr>
        <w:t xml:space="preserve">Seasonality Optimization Frameworks:</w:t>
      </w:r>
      <w:r>
        <w:t xml:space="preserve"> </w:t>
      </w:r>
      <w:r>
        <w:t xml:space="preserve">Strategies to leverage Kyoto’s 3.2 million annual tourists (e.g., seasonal pricing models for ryokans and souvenir shops).</w:t>
      </w:r>
    </w:p>
    <w:bookmarkStart w:id="23" w:name="Xac8794dabf1b1a8ab5dbf75c497040918accd45"/>
    <w:p>
      <w:pPr>
        <w:pStyle w:val="Heading3"/>
      </w:pPr>
      <w:r>
        <w:t xml:space="preserve">Case Study: Traditional Tea House Modernization</w:t>
      </w:r>
    </w:p>
    <w:p>
      <w:pPr>
        <w:pStyle w:val="FirstParagraph"/>
      </w:pPr>
      <w:r>
        <w:t xml:space="preserve">A Kyoto-based *ryokan* (traditional inn) with 40 years of heritage faced declining occupancy during off-peak seasons. Our Business Consultant team conducted cultural immersion workshops, developed a "Seasonal Heritage Experience" package, and implemented digital reservation systems compatible with Japanese payment preferences. Result: 58% occupancy increase in low-season months and 32% revenue growth within six months. The client now actively refers us to other *kōya* (traditional business) operators in Kyoto.</w:t>
      </w:r>
    </w:p>
    <w:bookmarkEnd w:id="23"/>
    <w:bookmarkEnd w:id="24"/>
    <w:bookmarkStart w:id="25" w:name="emerging-opportunities-in-kyotos-market"/>
    <w:p>
      <w:pPr>
        <w:pStyle w:val="Heading2"/>
      </w:pPr>
      <w:r>
        <w:t xml:space="preserve">Emerging Opportunities in Kyoto's Market</w:t>
      </w:r>
    </w:p>
    <w:p>
      <w:pPr>
        <w:pStyle w:val="FirstParagraph"/>
      </w:pPr>
      <w:r>
        <w:t xml:space="preserve">Three strategic opportunities drove our Q3 sales surge:</w:t>
      </w:r>
    </w:p>
    <w:p>
      <w:pPr>
        <w:numPr>
          <w:ilvl w:val="0"/>
          <w:numId w:val="1002"/>
        </w:numPr>
        <w:pStyle w:val="Compact"/>
      </w:pPr>
      <w:r>
        <w:rPr>
          <w:bCs/>
          <w:b/>
        </w:rPr>
        <w:t xml:space="preserve">Tourism Recovery Catalysts:</w:t>
      </w:r>
      <w:r>
        <w:t xml:space="preserve"> </w:t>
      </w:r>
      <w:r>
        <w:t xml:space="preserve">Post-pandemic demand for authentic cultural experiences has created a 40% market gap in specialized hospitality consulting. Our Kyoto Business Consultant team now offers "Heritage-Compliant Digital Transformation" packages.</w:t>
      </w:r>
    </w:p>
    <w:p>
      <w:pPr>
        <w:numPr>
          <w:ilvl w:val="0"/>
          <w:numId w:val="1002"/>
        </w:numPr>
        <w:pStyle w:val="Compact"/>
      </w:pPr>
      <w:r>
        <w:rPr>
          <w:bCs/>
          <w:b/>
        </w:rPr>
        <w:t xml:space="preserve">Sustainability Mandates:</w:t>
      </w:r>
      <w:r>
        <w:t xml:space="preserve"> </w:t>
      </w:r>
      <w:r>
        <w:t xml:space="preserve">Kyoto’s citywide 2035 carbon neutrality goal requires SMEs to adopt eco-practices. We launched a dedicated "Kyoto Green Certification" service, securing contracts with 12 food producers and textile artisans in Q3.</w:t>
      </w:r>
    </w:p>
    <w:p>
      <w:pPr>
        <w:numPr>
          <w:ilvl w:val="0"/>
          <w:numId w:val="1002"/>
        </w:numPr>
        <w:pStyle w:val="Compact"/>
      </w:pPr>
      <w:r>
        <w:rPr>
          <w:bCs/>
          <w:b/>
        </w:rPr>
        <w:t xml:space="preserve">Foreign Direct Investment Support:</w:t>
      </w:r>
      <w:r>
        <w:t xml:space="preserve"> </w:t>
      </w:r>
      <w:r>
        <w:t xml:space="preserve">With Kyoto attracting record foreign investment (up 28% YoY), our Business Consultant services help international firms navigate local business etiquette and partnership structures, leading to three major cross-border deals this quarter.</w:t>
      </w:r>
    </w:p>
    <w:bookmarkEnd w:id="25"/>
    <w:bookmarkStart w:id="26" w:name="challenges-strategic-adaptations"/>
    <w:p>
      <w:pPr>
        <w:pStyle w:val="Heading2"/>
      </w:pPr>
      <w:r>
        <w:t xml:space="preserve">Challenges &amp; Strategic Adaptations</w:t>
      </w:r>
    </w:p>
    <w:p>
      <w:pPr>
        <w:pStyle w:val="FirstParagraph"/>
      </w:pPr>
      <w:r>
        <w:t xml:space="preserve">Despite strong growth, we identified two critical challenges requiring refined Business Consultant approaches in Japan Kyoto:</w:t>
      </w:r>
    </w:p>
    <w:p>
      <w:pPr>
        <w:numPr>
          <w:ilvl w:val="0"/>
          <w:numId w:val="1003"/>
        </w:numPr>
        <w:pStyle w:val="Compact"/>
      </w:pPr>
      <w:r>
        <w:rPr>
          <w:bCs/>
          <w:b/>
        </w:rPr>
        <w:t xml:space="preserve">Cultural Misalignment in Digital Adoption:</w:t>
      </w:r>
      <w:r>
        <w:t xml:space="preserve"> </w:t>
      </w:r>
      <w:r>
        <w:t xml:space="preserve">Some Kyoto businesses resisted AI tools due to "technology distrust." Our solution: co-developing *human-centered* digital frameworks where consultants act as cultural translators between tech providers and local management.</w:t>
      </w:r>
    </w:p>
    <w:p>
      <w:pPr>
        <w:numPr>
          <w:ilvl w:val="0"/>
          <w:numId w:val="1003"/>
        </w:numPr>
        <w:pStyle w:val="Compact"/>
      </w:pPr>
      <w:r>
        <w:rPr>
          <w:bCs/>
          <w:b/>
        </w:rPr>
        <w:t xml:space="preserve">Competition from Local Firms:</w:t>
      </w:r>
      <w:r>
        <w:t xml:space="preserve"> </w:t>
      </w:r>
      <w:r>
        <w:t xml:space="preserve">Domestic consultancies offered lower prices but lacked global standards. We countered by emphasizing our Japan Kyoto-specific certifications (e.g., Kyoto Chamber of Commerce accredited) and delivering measurable ROI through case studies like the *ryokan* success story.</w:t>
      </w:r>
    </w:p>
    <w:bookmarkEnd w:id="26"/>
    <w:bookmarkStart w:id="27" w:name="future-outlook-strategic-recommendations"/>
    <w:p>
      <w:pPr>
        <w:pStyle w:val="Heading2"/>
      </w:pPr>
      <w:r>
        <w:t xml:space="preserve">Future Outlook &amp; Strategic Recommendations</w:t>
      </w:r>
    </w:p>
    <w:p>
      <w:pPr>
        <w:pStyle w:val="FirstParagraph"/>
      </w:pPr>
      <w:r>
        <w:t xml:space="preserve">For Q4 2024, we project 30% further growth in Kyoto sales by:</w:t>
      </w:r>
    </w:p>
    <w:p>
      <w:pPr>
        <w:numPr>
          <w:ilvl w:val="0"/>
          <w:numId w:val="1004"/>
        </w:numPr>
        <w:pStyle w:val="Compact"/>
      </w:pPr>
      <w:r>
        <w:t xml:space="preserve">Expanding our "Kyoto Cultural Intelligence" training for all Business Consultant staff (launching October 15).</w:t>
      </w:r>
    </w:p>
    <w:p>
      <w:pPr>
        <w:numPr>
          <w:ilvl w:val="0"/>
          <w:numId w:val="1004"/>
        </w:numPr>
        <w:pStyle w:val="Compact"/>
      </w:pPr>
      <w:r>
        <w:t xml:space="preserve">Partnering with Kyoto University’s Entrepreneurship Center to create a joint certification program.</w:t>
      </w:r>
    </w:p>
    <w:p>
      <w:pPr>
        <w:numPr>
          <w:ilvl w:val="0"/>
          <w:numId w:val="1004"/>
        </w:numPr>
        <w:pStyle w:val="Compact"/>
      </w:pPr>
      <w:r>
        <w:t xml:space="preserve">Developing sector-specific packages for Kyoto’s three high-growth areas: sustainable tourism, *wagashi* (traditional confectionery) innovation, and tech-heritage fusion businesses.</w:t>
      </w:r>
    </w:p>
    <w:bookmarkEnd w:id="27"/>
    <w:bookmarkStart w:id="28" w:name="conclusion"/>
    <w:p>
      <w:pPr>
        <w:pStyle w:val="Heading2"/>
      </w:pPr>
      <w:r>
        <w:t xml:space="preserve">Conclusion</w:t>
      </w:r>
    </w:p>
    <w:p>
      <w:pPr>
        <w:pStyle w:val="FirstParagraph"/>
      </w:pPr>
      <w:r>
        <w:t xml:space="preserve">This Sales Report unequivocally demonstrates that our Business Consultant service has become the cornerstone of strategic growth for Kyoto enterprises. The city’s unique blend of tradition and modernity demands specialized expertise we deliver through culturally attuned, results-driven strategies. With 89% of Kyoto clients now extending their engagement beyond initial contracts, our model proves that in Japan Kyoto's market, success hinges not on generic solutions but on deeply contextualized business consultancy.</w:t>
      </w:r>
    </w:p>
    <w:p>
      <w:pPr>
        <w:pStyle w:val="BodyText"/>
      </w:pPr>
      <w:r>
        <w:t xml:space="preserve">As Kyoto continues its journey toward balancing heritage preservation with economic innovation, our Business Consultant team remains positioned at the forefront—transforming challenges into opportunities through cultural intelligence. The data is clear: for businesses seeking sustainable growth in Japan Kyoto, strategic consulting isn't an expense; it's the essential catalyst for thriving in one of Asia's most distinctive markets.</w:t>
      </w:r>
    </w:p>
    <w:p>
      <w:pPr>
        <w:pStyle w:val="BodyText"/>
      </w:pPr>
      <w:r>
        <w:rPr>
          <w:bCs/>
          <w:b/>
        </w:rPr>
        <w:t xml:space="preserve">Prepared by:</w:t>
      </w:r>
      <w:r>
        <w:t xml:space="preserve"> </w:t>
      </w:r>
      <w:r>
        <w:t xml:space="preserve">Global Business Advisory Group</w:t>
      </w:r>
      <w:r>
        <w:br/>
      </w:r>
      <w:r>
        <w:rPr>
          <w:bCs/>
          <w:b/>
        </w:rPr>
        <w:t xml:space="preserve">Date:</w:t>
      </w:r>
      <w:r>
        <w:t xml:space="preserve"> </w:t>
      </w:r>
      <w:r>
        <w:t xml:space="preserve">October 5, 2024</w:t>
      </w:r>
      <w:r>
        <w:br/>
      </w:r>
      <w:r>
        <w:rPr>
          <w:bCs/>
          <w:b/>
        </w:rPr>
        <w:t xml:space="preserve">Sales Report Reference:</w:t>
      </w:r>
      <w:r>
        <w:t xml:space="preserve"> </w:t>
      </w:r>
      <w:r>
        <w:t xml:space="preserve">K-BC-SR-Q3-2024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Japan Kyoto Market</dc:title>
  <dc:creator/>
  <dc:language>en</dc:language>
  <cp:keywords/>
  <dcterms:created xsi:type="dcterms:W3CDTF">2025-12-11T17:03:12Z</dcterms:created>
  <dcterms:modified xsi:type="dcterms:W3CDTF">2025-12-11T17:03:12Z</dcterms:modified>
</cp:coreProperties>
</file>

<file path=docProps/custom.xml><?xml version="1.0" encoding="utf-8"?>
<Properties xmlns="http://schemas.openxmlformats.org/officeDocument/2006/custom-properties" xmlns:vt="http://schemas.openxmlformats.org/officeDocument/2006/docPropsVTypes"/>
</file>