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Business</w:t>
      </w:r>
      <w:r>
        <w:t xml:space="preserve"> </w:t>
      </w:r>
      <w:r>
        <w:t xml:space="preserve">Consultant</w:t>
      </w:r>
      <w:r>
        <w:t xml:space="preserve"> </w:t>
      </w:r>
      <w:r>
        <w:t xml:space="preserve">Sales</w:t>
      </w:r>
      <w:r>
        <w:t xml:space="preserve"> </w:t>
      </w:r>
      <w:r>
        <w:t xml:space="preserve">Report</w:t>
      </w:r>
    </w:p>
    <w:bookmarkStart w:id="28" w:name="Xaefb2b988b810660847c05b16b46298c61fb4b7"/>
    <w:p>
      <w:pPr>
        <w:pStyle w:val="Heading1"/>
      </w:pPr>
      <w:r>
        <w:t xml:space="preserve">Comprehensive Sales Report: Business Consultant Performance in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Business Consultant services across Japan Osaka, confirming Osaka as a strategic growth engine for our firm. In Q3, we achieved a remarkable 34% year-over-year revenue increase in Osaka operations, securing 17 new enterprise clients and expanding our market share by 22%. The success underscores the critical value of specialized Business Consultant expertise within Japan's dynamic economic ecosystem. This document serves as definitive evidence of our firm's strategic positioning as the premier Business Consultant partner for multinational corporations navigating Osaka's unique business landscape.</w:t>
      </w:r>
    </w:p>
    <w:bookmarkEnd w:id="20"/>
    <w:bookmarkStart w:id="21" w:name="Xd59003cd80874478efc54206831e6c1cab85032"/>
    <w:p>
      <w:pPr>
        <w:pStyle w:val="Heading2"/>
      </w:pPr>
      <w:r>
        <w:t xml:space="preserve">II. Osaka Market Dynamics &amp; Strategic Context</w:t>
      </w:r>
    </w:p>
    <w:p>
      <w:pPr>
        <w:pStyle w:val="FirstParagraph"/>
      </w:pPr>
      <w:r>
        <w:t xml:space="preserve">As the economic heart of Kansai region and Japan's third-largest metropolitan area, Osaka presents unparalleled opportunities for Business Consultant firms. The city hosts 38% of Japan's Fortune Global 500 headquarters outside Tokyo and boasts a thriving ecosystem of manufacturing giants (Panasonic, Sharp), logistics innovators, and emerging startups. However, this environment demands nuanced cultural intelligence—Osaka's "Kansai spirit" emphasizes direct communication and relationship-driven partnerships over formal protocols. Our Business Consultant team has mastered these subtleties through on-ground immersion in Japan Osaka since 2015.</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from Osaka operations reached ¥487 million (USD $3.1M) in Q3, surpassing target by 18%. This represents 42% of our firm's global revenue contribution from a single city—a testament to Osaka's strategic importance.</w:t>
      </w:r>
    </w:p>
    <w:p>
      <w:pPr>
        <w:pStyle w:val="BodyText"/>
      </w:pPr>
      <w:r>
        <w:rPr>
          <w:bCs/>
          <w:b/>
        </w:rPr>
        <w:t xml:space="preserve">Client Acquisition:</w:t>
      </w:r>
      <w:r>
        <w:t xml:space="preserve"> </w:t>
      </w:r>
      <w:r>
        <w:t xml:space="preserve">We secured landmark contracts with three Osaka-based industrial conglomerates:</w:t>
      </w:r>
    </w:p>
    <w:p>
      <w:pPr>
        <w:numPr>
          <w:ilvl w:val="0"/>
          <w:numId w:val="1001"/>
        </w:numPr>
        <w:pStyle w:val="Compact"/>
      </w:pPr>
      <w:r>
        <w:t xml:space="preserve">Kansai Electric Power Co. (energy transition strategy)</w:t>
      </w:r>
    </w:p>
    <w:p>
      <w:pPr>
        <w:numPr>
          <w:ilvl w:val="0"/>
          <w:numId w:val="1001"/>
        </w:numPr>
        <w:pStyle w:val="Compact"/>
      </w:pPr>
      <w:r>
        <w:t xml:space="preserve">Toshiba Industrial Solutions (supply chain optimization)</w:t>
      </w:r>
    </w:p>
    <w:p>
      <w:pPr>
        <w:numPr>
          <w:ilvl w:val="0"/>
          <w:numId w:val="1001"/>
        </w:numPr>
        <w:pStyle w:val="Compact"/>
      </w:pPr>
      <w:r>
        <w:t xml:space="preserve">Ajinomoto Group (global market expansion for plant-based products)</w:t>
      </w:r>
    </w:p>
    <w:p>
      <w:pPr>
        <w:pStyle w:val="FirstParagraph"/>
      </w:pPr>
      <w:r>
        <w:rPr>
          <w:bCs/>
          <w:b/>
        </w:rPr>
        <w:t xml:space="preserve">Service Adoption:</w:t>
      </w:r>
      <w:r>
        <w:t xml:space="preserve"> </w:t>
      </w:r>
      <w:r>
        <w:t xml:space="preserve">Demand surged for our "Osaka Market Entry Accelerator" package, with 12 new clients signing up—300% increase from Q2. This tailored Business Consultant offering includes cultural training modules specifically designed for Osaka's business etiquette and regulatory nuances.</w:t>
      </w:r>
    </w:p>
    <w:bookmarkEnd w:id="22"/>
    <w:bookmarkStart w:id="23" w:name="Xf747b65b54cffc9d40a7ca58a4f2db44ee6198d"/>
    <w:p>
      <w:pPr>
        <w:pStyle w:val="Heading2"/>
      </w:pPr>
      <w:r>
        <w:t xml:space="preserve">IV. Client Success Stories (Japan Osaka Focus)</w:t>
      </w:r>
    </w:p>
    <w:p>
      <w:pPr>
        <w:pStyle w:val="FirstParagraph"/>
      </w:pPr>
      <w:r>
        <w:rPr>
          <w:bCs/>
          <w:b/>
        </w:rPr>
        <w:t xml:space="preserve">Case Study: Manufacturing Giant X</w:t>
      </w:r>
    </w:p>
    <w:p>
      <w:pPr>
        <w:pStyle w:val="BlockText"/>
      </w:pPr>
      <w:r>
        <w:t xml:space="preserve">"Our Business Consultant team didn't just deliver a report—they embedded with our Osaka operations team for 8 weeks. They identified hidden inefficiencies in our Kaizen processes that were culture-specific to Osaka's supplier relationships. Within six months, we reduced production costs by 19% and accelerated market response time by 35%. This is why we've made them our exclusive Business Consultant for all Kansai operations."</w:t>
      </w:r>
    </w:p>
    <w:p>
      <w:pPr>
        <w:pStyle w:val="FirstParagraph"/>
      </w:pPr>
      <w:r>
        <w:rPr>
          <w:iCs/>
          <w:i/>
        </w:rPr>
        <w:t xml:space="preserve">- Mr. Kenji Tanaka, COO, Osaka Manufacturing Hub</w:t>
      </w:r>
    </w:p>
    <w:p>
      <w:pPr>
        <w:pStyle w:val="BodyText"/>
      </w:pPr>
      <w:r>
        <w:rPr>
          <w:bCs/>
          <w:b/>
        </w:rPr>
        <w:t xml:space="preserve">Case Study: Healthcare Innovator Y</w:t>
      </w:r>
    </w:p>
    <w:p>
      <w:pPr>
        <w:pStyle w:val="BlockText"/>
      </w:pPr>
      <w:r>
        <w:t xml:space="preserve">"Navigating Japan Osaka's healthcare regulations required more than standard consulting. Our Business Consultant partner understood the local "Gyōsei" (regulatory harmony) principles and coordinated directly with Osaka Prefecture officials. This enabled our medical device launch to proceed 5 months ahead of schedule—critical for capitalizing on Osaka's aging population market."</w:t>
      </w:r>
    </w:p>
    <w:p>
      <w:pPr>
        <w:pStyle w:val="FirstParagraph"/>
      </w:pPr>
      <w:r>
        <w:rPr>
          <w:iCs/>
          <w:i/>
        </w:rPr>
        <w:t xml:space="preserve">- Dr. Akari Sato, CEO, MedTech Innovations Japan</w:t>
      </w:r>
    </w:p>
    <w:bookmarkEnd w:id="23"/>
    <w:bookmarkStart w:id="24" w:name="X024ebe1d427c523c3c7ff744767e8659488da8e"/>
    <w:p>
      <w:pPr>
        <w:pStyle w:val="Heading2"/>
      </w:pPr>
      <w:r>
        <w:t xml:space="preserve">V. Cultural Intelligence as Competitive Advantage</w:t>
      </w:r>
    </w:p>
    <w:p>
      <w:pPr>
        <w:pStyle w:val="FirstParagraph"/>
      </w:pPr>
      <w:r>
        <w:t xml:space="preserve">Our success in Japan Osaka hinges on cultural mastery beyond typical business consulting frameworks. Unlike Tokyo-centric approaches, our Business Consultant team:</w:t>
      </w:r>
    </w:p>
    <w:p>
      <w:pPr>
        <w:numPr>
          <w:ilvl w:val="0"/>
          <w:numId w:val="1002"/>
        </w:numPr>
        <w:pStyle w:val="Compact"/>
      </w:pPr>
      <w:r>
        <w:t xml:space="preserve">Understands Osaka's "Yakitori" communication style (direct yet warm)</w:t>
      </w:r>
    </w:p>
    <w:p>
      <w:pPr>
        <w:numPr>
          <w:ilvl w:val="0"/>
          <w:numId w:val="1002"/>
        </w:numPr>
        <w:pStyle w:val="Compact"/>
      </w:pPr>
      <w:r>
        <w:t xml:space="preserve">Adapts to Kansai dialect nuances in client meetings</w:t>
      </w:r>
    </w:p>
    <w:p>
      <w:pPr>
        <w:numPr>
          <w:ilvl w:val="0"/>
          <w:numId w:val="1002"/>
        </w:numPr>
        <w:pStyle w:val="Compact"/>
      </w:pPr>
      <w:r>
        <w:t xml:space="preserve">Respects the significance of "Omotenashi" (Japanese hospitality) in client relationships</w:t>
      </w:r>
    </w:p>
    <w:p>
      <w:pPr>
        <w:pStyle w:val="FirstParagraph"/>
      </w:pPr>
      <w:r>
        <w:t xml:space="preserve">This cultural fluency directly impacted sales—clients reported 47% higher satisfaction with our Business Consultant team's interpersonal effectiveness compared to competitors.</w:t>
      </w:r>
    </w:p>
    <w:bookmarkEnd w:id="24"/>
    <w:bookmarkStart w:id="25" w:name="vi.-challenges-strategic-opportunities"/>
    <w:p>
      <w:pPr>
        <w:pStyle w:val="Heading2"/>
      </w:pPr>
      <w:r>
        <w:t xml:space="preserve">VI. Challenges &amp; Strategic Opportunities</w:t>
      </w:r>
    </w:p>
    <w:p>
      <w:pPr>
        <w:pStyle w:val="FirstParagraph"/>
      </w:pPr>
      <w:r>
        <w:rPr>
          <w:bCs/>
          <w:b/>
        </w:rPr>
        <w:t xml:space="preserve">Challenges Addressed:</w:t>
      </w:r>
    </w:p>
    <w:p>
      <w:pPr>
        <w:numPr>
          <w:ilvl w:val="0"/>
          <w:numId w:val="1003"/>
        </w:numPr>
        <w:pStyle w:val="Compact"/>
      </w:pPr>
      <w:r>
        <w:rPr>
          <w:iCs/>
          <w:i/>
        </w:rPr>
        <w:t xml:space="preserve">Talent Acquisition:</w:t>
      </w:r>
      <w:r>
        <w:t xml:space="preserve"> </w:t>
      </w:r>
      <w:r>
        <w:t xml:space="preserve">Reduced recruitment time for Osaka-based consultants by 63% through partnerships with Kansai University's Business School</w:t>
      </w:r>
    </w:p>
    <w:p>
      <w:pPr>
        <w:numPr>
          <w:ilvl w:val="0"/>
          <w:numId w:val="1003"/>
        </w:numPr>
        <w:pStyle w:val="Compact"/>
      </w:pPr>
      <w:r>
        <w:rPr>
          <w:iCs/>
          <w:i/>
        </w:rPr>
        <w:t xml:space="preserve">Cultural Misalignment:</w:t>
      </w:r>
      <w:r>
        <w:t xml:space="preserve"> </w:t>
      </w:r>
      <w:r>
        <w:t xml:space="preserve">Implemented mandatory "Osaka Immersion Weeks" for all new consultants, improving client retention by 28%</w:t>
      </w:r>
    </w:p>
    <w:p>
      <w:pPr>
        <w:pStyle w:val="FirstParagraph"/>
      </w:pPr>
      <w:r>
        <w:rPr>
          <w:bCs/>
          <w:b/>
        </w:rPr>
        <w:t xml:space="preserve">Emerging Opportunities:</w:t>
      </w:r>
    </w:p>
    <w:p>
      <w:pPr>
        <w:numPr>
          <w:ilvl w:val="0"/>
          <w:numId w:val="1004"/>
        </w:numPr>
        <w:pStyle w:val="Compact"/>
      </w:pPr>
      <w:r>
        <w:rPr>
          <w:bCs/>
          <w:b/>
        </w:rPr>
        <w:t xml:space="preserve">Green Osaka Initiative:</w:t>
      </w:r>
      <w:r>
        <w:t xml:space="preserve"> </w:t>
      </w:r>
      <w:r>
        <w:t xml:space="preserve">Partnering with Osaka City's 2030 carbon neutrality plan to deliver sustainability strategy services (pipeline: ¥1.2B)</w:t>
      </w:r>
    </w:p>
    <w:p>
      <w:pPr>
        <w:numPr>
          <w:ilvl w:val="0"/>
          <w:numId w:val="1004"/>
        </w:numPr>
        <w:pStyle w:val="Compact"/>
      </w:pPr>
      <w:r>
        <w:rPr>
          <w:iCs/>
          <w:i/>
        </w:rPr>
        <w:t xml:space="preserve">Kansai Logistics Hub Expansion:</w:t>
      </w:r>
      <w:r>
        <w:t xml:space="preserve"> </w:t>
      </w:r>
      <w:r>
        <w:t xml:space="preserve">Capitalizing on Osaka's port modernization for supply chain consulting (target: 5 new clients by Q1 2024)</w:t>
      </w:r>
    </w:p>
    <w:p>
      <w:pPr>
        <w:numPr>
          <w:ilvl w:val="0"/>
          <w:numId w:val="1004"/>
        </w:numPr>
        <w:pStyle w:val="Compact"/>
      </w:pPr>
      <w:r>
        <w:rPr>
          <w:iCs/>
          <w:i/>
        </w:rPr>
        <w:t xml:space="preserve">Startup Ecosystem Development:</w:t>
      </w:r>
      <w:r>
        <w:t xml:space="preserve"> </w:t>
      </w:r>
      <w:r>
        <w:t xml:space="preserve">Launching "Osaka Scale-Up Program" for foreign startups entering Kansai market</w:t>
      </w:r>
    </w:p>
    <w:bookmarkEnd w:id="25"/>
    <w:bookmarkStart w:id="26" w:name="X07210b30b26a00cf7884a0bffeb0342bc87f6f6"/>
    <w:p>
      <w:pPr>
        <w:pStyle w:val="Heading2"/>
      </w:pPr>
      <w:r>
        <w:t xml:space="preserve">VII. Strategic Roadmap for Japan Osaka Growth</w:t>
      </w:r>
    </w:p>
    <w:p>
      <w:pPr>
        <w:pStyle w:val="FirstParagraph"/>
      </w:pPr>
      <w:r>
        <w:t xml:space="preserve">Building on Q3 momentum, our 2024 strategy includes:</w:t>
      </w:r>
    </w:p>
    <w:p>
      <w:pPr>
        <w:numPr>
          <w:ilvl w:val="0"/>
          <w:numId w:val="1005"/>
        </w:numPr>
        <w:pStyle w:val="Compact"/>
      </w:pPr>
      <w:r>
        <w:rPr>
          <w:bCs/>
          <w:b/>
        </w:rPr>
        <w:t xml:space="preserve">Osaka Hub Expansion:</w:t>
      </w:r>
      <w:r>
        <w:t xml:space="preserve"> </w:t>
      </w:r>
      <w:r>
        <w:t xml:space="preserve">Opening a dedicated Business Consultant office in Namba district (Q1 2024) to accelerate client responsiveness</w:t>
      </w:r>
    </w:p>
    <w:p>
      <w:pPr>
        <w:numPr>
          <w:ilvl w:val="0"/>
          <w:numId w:val="1005"/>
        </w:numPr>
        <w:pStyle w:val="Compact"/>
      </w:pPr>
      <w:r>
        <w:rPr>
          <w:bCs/>
          <w:b/>
        </w:rPr>
        <w:t xml:space="preserve">Cultural Certification Program:</w:t>
      </w:r>
      <w:r>
        <w:t xml:space="preserve"> </w:t>
      </w:r>
      <w:r>
        <w:t xml:space="preserve">Developing Japan Osaka-specific certification for all consultants (launch: Q2 2024)</w:t>
      </w:r>
    </w:p>
    <w:p>
      <w:pPr>
        <w:numPr>
          <w:ilvl w:val="0"/>
          <w:numId w:val="1005"/>
        </w:numPr>
        <w:pStyle w:val="Compact"/>
      </w:pPr>
      <w:r>
        <w:rPr>
          <w:bCs/>
          <w:b/>
        </w:rPr>
        <w:t xml:space="preserve">AI-Powered Market Analytics:</w:t>
      </w:r>
      <w:r>
        <w:t xml:space="preserve"> </w:t>
      </w:r>
      <w:r>
        <w:t xml:space="preserve">Implementing localized AI tools tracking Osaka's unique business pulse (e.g., Kansai Economic Index) for proactive consulting</w:t>
      </w:r>
    </w:p>
    <w:bookmarkEnd w:id="26"/>
    <w:bookmarkStart w:id="27" w:name="viii.-conclusion-forward-momentum"/>
    <w:p>
      <w:pPr>
        <w:pStyle w:val="Heading2"/>
      </w:pPr>
      <w:r>
        <w:t xml:space="preserve">VIII. Conclusion &amp; Forward Momentum</w:t>
      </w:r>
    </w:p>
    <w:p>
      <w:pPr>
        <w:pStyle w:val="FirstParagraph"/>
      </w:pPr>
      <w:r>
        <w:t xml:space="preserve">This Sales Report unequivocally demonstrates that our Business Consultant practice in Japan Osaka has achieved market leadership through deep cultural integration and results-driven service delivery. The 34% YoY growth isn't merely financial—it signifies the trust Osaka's corporate leaders place in our ability to navigate Japan's most business-savvy region. As one client aptly stated: "You don't just consult; you become part of Osaka’s business DNA."</w:t>
      </w:r>
    </w:p>
    <w:p>
      <w:pPr>
        <w:pStyle w:val="BodyText"/>
      </w:pPr>
      <w:r>
        <w:t xml:space="preserve">With 82% of current clients expanding engagement scope and a 37% increase in referral rate from Osaka-based firms, the path forward is clear. We will continue to position ourselves as the indispensable Business Consultant partner for organizations seeking sustainable growth within Japan Osaka's vibrant economy. The Q4 pipeline already includes two potential mega-deals exceeding ¥500 million each, solidifying Osaka's role as our firm's most valuable regional hub.</w:t>
      </w:r>
    </w:p>
    <w:p>
      <w:pPr>
        <w:pStyle w:val="BodyText"/>
      </w:pPr>
      <w:r>
        <w:rPr>
          <w:bCs/>
          <w:b/>
        </w:rPr>
        <w:t xml:space="preserve">Prepared By:</w:t>
      </w:r>
      <w:r>
        <w:t xml:space="preserve"> </w:t>
      </w:r>
      <w:r>
        <w:t xml:space="preserve">Global Consulting Strategy Division</w:t>
      </w:r>
      <w:r>
        <w:br/>
      </w:r>
      <w:r>
        <w:rPr>
          <w:bCs/>
          <w:b/>
        </w:rPr>
        <w:t xml:space="preserve">Verified Against:</w:t>
      </w:r>
      <w:r>
        <w:t xml:space="preserve"> </w:t>
      </w:r>
      <w:r>
        <w:t xml:space="preserve">Osaka Regional Sales Dashboard (Data Source: FirmInternal.OSAKA)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Business Consultant Sales Report</dc:title>
  <dc:creator/>
  <dc:language>en</dc:language>
  <cp:keywords/>
  <dcterms:created xsi:type="dcterms:W3CDTF">2026-07-24T04:55:29Z</dcterms:created>
  <dcterms:modified xsi:type="dcterms:W3CDTF">2026-07-24T04:55:29Z</dcterms:modified>
</cp:coreProperties>
</file>

<file path=docProps/custom.xml><?xml version="1.0" encoding="utf-8"?>
<Properties xmlns="http://schemas.openxmlformats.org/officeDocument/2006/custom-properties" xmlns:vt="http://schemas.openxmlformats.org/officeDocument/2006/docPropsVTypes"/>
</file>