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30" w:name="X6b94ee739869199a6aeae3b1bc3fe32819c6772"/>
    <w:p>
      <w:pPr>
        <w:pStyle w:val="Heading1"/>
      </w:pPr>
      <w:r>
        <w:t xml:space="preserve">Annual Sales Report: Strategic Business Consultant Performance in Japan Tokyo (2023)</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growth trajectory of our premier Business Consultant services within the Tokyo business ecosystem. As a leading international consultancy firm with deep roots in Japan's corporate landscape, we have achieved remarkable results in Tokyo during 2023. This report underscores how our tailored Business Consultant solutions have driven measurable value for clients across diverse industries, reinforcing our position as the preferred partner for organizational excellence in Japan Tokyo.</w:t>
      </w:r>
    </w:p>
    <w:bookmarkEnd w:id="20"/>
    <w:bookmarkStart w:id="21" w:name="X0e25a1cefafe33c5e53d79779eb9f84d8eb16a1"/>
    <w:p>
      <w:pPr>
        <w:pStyle w:val="Heading2"/>
      </w:pPr>
      <w:r>
        <w:t xml:space="preserve">Market Analysis: Japan Tokyo Business Environment</w:t>
      </w:r>
    </w:p>
    <w:p>
      <w:pPr>
        <w:pStyle w:val="FirstParagraph"/>
      </w:pPr>
      <w:r>
        <w:t xml:space="preserve">The Tokyo business market continues to demonstrate resilience and innovation, particularly in sectors like fintech, sustainable manufacturing, and international trade. Our 2023 analysis reveals a 14% year-on-year increase in demand for specialized Business Consultant services across major corporations headquartered in Tokyo. This surge directly correlates with Japan's strategic shift toward digital transformation (DX) initiatives and global market expansion. Notably, companies in Tokyo's central business districts—such as Marunouchi, Shimbashi, and Minato—actively seek external Business Consultant expertise to navigate complex regulatory environments and accelerate corporate innovation.</w:t>
      </w:r>
    </w:p>
    <w:bookmarkEnd w:id="21"/>
    <w:bookmarkStart w:id="22" w:name="service-performance-highlights"/>
    <w:p>
      <w:pPr>
        <w:pStyle w:val="Heading2"/>
      </w:pPr>
      <w:r>
        <w:t xml:space="preserve">Service Performance Highlights</w:t>
      </w:r>
    </w:p>
    <w:p>
      <w:pPr>
        <w:pStyle w:val="FirstParagraph"/>
      </w:pPr>
      <w:r>
        <w:t xml:space="preserve">Our Business Consultant team delivered exceptional results across 37 key engagements in Japan Tokyo last year. Core service areas driving growth included:</w:t>
      </w:r>
    </w:p>
    <w:p>
      <w:pPr>
        <w:numPr>
          <w:ilvl w:val="0"/>
          <w:numId w:val="1001"/>
        </w:numPr>
        <w:pStyle w:val="Compact"/>
      </w:pPr>
      <w:r>
        <w:rPr>
          <w:bCs/>
          <w:b/>
        </w:rPr>
        <w:t xml:space="preserve">Digital Transformation Strategy:</w:t>
      </w:r>
      <w:r>
        <w:t xml:space="preserve"> </w:t>
      </w:r>
      <w:r>
        <w:t xml:space="preserve">Implemented AI-driven operational frameworks for 12 major Tokyo-based manufacturers, resulting in average 27% efficiency gains.</w:t>
      </w:r>
    </w:p>
    <w:p>
      <w:pPr>
        <w:numPr>
          <w:ilvl w:val="0"/>
          <w:numId w:val="1001"/>
        </w:numPr>
        <w:pStyle w:val="Compact"/>
      </w:pPr>
      <w:r>
        <w:rPr>
          <w:bCs/>
          <w:b/>
        </w:rPr>
        <w:t xml:space="preserve">Cross-Cultural Leadership Development:</w:t>
      </w:r>
      <w:r>
        <w:t xml:space="preserve"> </w:t>
      </w:r>
      <w:r>
        <w:t xml:space="preserve">Trained 850+ executives at Toyota, SoftBank, and Mitsubishi Group on integrating Western business practices with Japanese corporate culture (Wa philosophy).</w:t>
      </w:r>
    </w:p>
    <w:p>
      <w:pPr>
        <w:numPr>
          <w:ilvl w:val="0"/>
          <w:numId w:val="1001"/>
        </w:numPr>
        <w:pStyle w:val="Compact"/>
      </w:pPr>
      <w:r>
        <w:rPr>
          <w:bCs/>
          <w:b/>
        </w:rPr>
        <w:t xml:space="preserve">Market Entry Consulting:</w:t>
      </w:r>
      <w:r>
        <w:t xml:space="preserve"> </w:t>
      </w:r>
      <w:r>
        <w:t xml:space="preserve">Guided 15 international firms through Tokyo's regulatory landscape, securing partnerships with local distributors in pharmaceuticals and robotics.</w:t>
      </w:r>
    </w:p>
    <w:p>
      <w:pPr>
        <w:pStyle w:val="FirstParagraph"/>
      </w:pPr>
      <w:r>
        <w:t xml:space="preserve">The success of our Business Consultant services is directly reflected in a 39% YoY increase in client retention within Japan Tokyo. Key differentiators include our fluency in Japanese business etiquette, deep understanding of keiretsu structures, and ability to execute rapid-response strategy sessions within Tokyo's high-paced environment.</w:t>
      </w:r>
    </w:p>
    <w:bookmarkEnd w:id="22"/>
    <w:bookmarkStart w:id="25" w:name="Xfa8d4c716277f6d0608b451620c9db5e2664638"/>
    <w:p>
      <w:pPr>
        <w:pStyle w:val="Heading2"/>
      </w:pPr>
      <w:r>
        <w:t xml:space="preserve">Client Success Stories: Japan Tokyo Case Studies</w:t>
      </w:r>
    </w:p>
    <w:bookmarkStart w:id="23" w:name="Xeeb150d266284afefdf6988bea0d9cf8ab0b9a7"/>
    <w:p>
      <w:pPr>
        <w:pStyle w:val="Heading3"/>
      </w:pPr>
      <w:r>
        <w:t xml:space="preserve">Case 1: Global Logistics Firm Expansion (Tokyo Headquarters)</w:t>
      </w:r>
    </w:p>
    <w:p>
      <w:pPr>
        <w:pStyle w:val="FirstParagraph"/>
      </w:pPr>
      <w:r>
        <w:t xml:space="preserve">A European logistics provider engaged our Business Consultant team to enter the Tokyo market. Within 9 months, we facilitated partnerships with major Japanese shipping consortia and optimized their supply chain using IoT solutions. Result: 40% faster customs clearance times and ¥120M in annual operational savings. The client's Tokyo operations director stated, "Our Business Consultant didn't just provide a report—they embedded sustainable growth into our Tokyo management DNA."</w:t>
      </w:r>
    </w:p>
    <w:bookmarkEnd w:id="23"/>
    <w:bookmarkStart w:id="24" w:name="Xcd6407ec84cbf021de30f610ba22d6a8d9edd08"/>
    <w:p>
      <w:pPr>
        <w:pStyle w:val="Heading3"/>
      </w:pPr>
      <w:r>
        <w:t xml:space="preserve">Case 2: Traditional Manufacturing Digital Leap</w:t>
      </w:r>
    </w:p>
    <w:p>
      <w:pPr>
        <w:pStyle w:val="FirstParagraph"/>
      </w:pPr>
      <w:r>
        <w:t xml:space="preserve">A century-old Tokyo-based machinery manufacturer required modernization. Our Business Consultant implemented a hybrid Kaizen-DX framework, training teams on agile methodologies while preserving Japanese craftsmanship values. Outcome: 52% reduction in production defects and entry into EU markets within 14 months. The CEO noted, "This Business Consultant partnership transformed our legacy operations into a Tokyo innovation leader."</w:t>
      </w:r>
    </w:p>
    <w:bookmarkEnd w:id="24"/>
    <w:bookmarkEnd w:id="25"/>
    <w:bookmarkStart w:id="26" w:name="challenges-strategic-adaptations"/>
    <w:p>
      <w:pPr>
        <w:pStyle w:val="Heading2"/>
      </w:pPr>
      <w:r>
        <w:t xml:space="preserve">Challenges &amp; Strategic Adaptations</w:t>
      </w:r>
    </w:p>
    <w:p>
      <w:pPr>
        <w:pStyle w:val="FirstParagraph"/>
      </w:pPr>
      <w:r>
        <w:t xml:space="preserve">While demand surged, Japan Tokyo presented unique challenges requiring agile Business Consultant responses:</w:t>
      </w:r>
    </w:p>
    <w:p>
      <w:pPr>
        <w:numPr>
          <w:ilvl w:val="0"/>
          <w:numId w:val="1002"/>
        </w:numPr>
        <w:pStyle w:val="Compact"/>
      </w:pPr>
      <w:r>
        <w:rPr>
          <w:iCs/>
          <w:i/>
        </w:rPr>
        <w:t xml:space="preserve">Cultural Nuances:</w:t>
      </w:r>
      <w:r>
        <w:t xml:space="preserve"> </w:t>
      </w:r>
      <w:r>
        <w:t xml:space="preserve">We enhanced our consultant training to prioritize "nemawashi" (consensus-building) protocols before strategic recommendations.</w:t>
      </w:r>
    </w:p>
    <w:p>
      <w:pPr>
        <w:numPr>
          <w:ilvl w:val="0"/>
          <w:numId w:val="1002"/>
        </w:numPr>
        <w:pStyle w:val="Compact"/>
      </w:pPr>
      <w:r>
        <w:rPr>
          <w:iCs/>
          <w:i/>
        </w:rPr>
        <w:t xml:space="preserve">Regulatory Complexity:</w:t>
      </w:r>
      <w:r>
        <w:t xml:space="preserve"> </w:t>
      </w:r>
      <w:r>
        <w:t xml:space="preserve">Established a dedicated Tokyo regulatory task force with former METI officials to streamline compliance for clients.</w:t>
      </w:r>
    </w:p>
    <w:p>
      <w:pPr>
        <w:numPr>
          <w:ilvl w:val="0"/>
          <w:numId w:val="1002"/>
        </w:numPr>
        <w:pStyle w:val="Compact"/>
      </w:pPr>
      <w:r>
        <w:rPr>
          <w:iCs/>
          <w:i/>
        </w:rPr>
        <w:t xml:space="preserve">Pricing Sensitivity:</w:t>
      </w:r>
      <w:r>
        <w:t xml:space="preserve"> </w:t>
      </w:r>
      <w:r>
        <w:t xml:space="preserve">Introduced tiered service packages aligned with Japanese corporate budget cycles (e.g., "Fiscal Year-End Consulting Bundles").</w:t>
      </w:r>
    </w:p>
    <w:p>
      <w:pPr>
        <w:pStyle w:val="FirstParagraph"/>
      </w:pPr>
      <w:r>
        <w:t xml:space="preserve">These adaptations directly contributed to a 22% increase in enterprise client acquisition within Japan Tokyo's Fortune 500 companies.</w:t>
      </w:r>
    </w:p>
    <w:bookmarkEnd w:id="26"/>
    <w:bookmarkStart w:id="27" w:name="growth-metrics-sales-performance"/>
    <w:p>
      <w:pPr>
        <w:pStyle w:val="Heading2"/>
      </w:pPr>
      <w:r>
        <w:t xml:space="preserve">Growth Metrics &amp; Sales Performance</w:t>
      </w:r>
    </w:p>
    <w:p>
      <w:pPr>
        <w:pStyle w:val="FirstParagraph"/>
      </w:pPr>
      <w:r>
        <w:t xml:space="preserve">Service Area</w:t>
      </w:r>
    </w:p>
    <w:p>
      <w:pPr>
        <w:pStyle w:val="BodyText"/>
      </w:pPr>
      <w:r>
        <w:t xml:space="preserve">Client Growth (YoY)</w:t>
      </w:r>
    </w:p>
    <w:p>
      <w:pPr>
        <w:pStyle w:val="BodyText"/>
      </w:pPr>
      <w:r>
        <w:t xml:space="preserve">Average Revenue per Client (¥M)</w:t>
      </w:r>
    </w:p>
    <w:p>
      <w:pPr>
        <w:pStyle w:val="BodyText"/>
      </w:pPr>
      <w:r>
        <w:t xml:space="preserve">Japan Tokyo Market Share</w:t>
      </w:r>
    </w:p>
    <w:p>
      <w:pPr>
        <w:pStyle w:val="BodyText"/>
      </w:pPr>
      <w:r>
        <w:t xml:space="preserve">Digital Transformation</w:t>
      </w:r>
    </w:p>
    <w:p>
      <w:pPr>
        <w:pStyle w:val="BodyText"/>
      </w:pPr>
      <w:r>
        <w:t xml:space="preserve">+31%</w:t>
      </w:r>
    </w:p>
    <w:p>
      <w:pPr>
        <w:pStyle w:val="BodyText"/>
      </w:pPr>
      <w:r>
        <w:t xml:space="preserve">¥48.2</w:t>
      </w:r>
    </w:p>
    <w:p>
      <w:pPr>
        <w:pStyle w:val="BodyText"/>
      </w:pPr>
      <w:r>
        <w:t xml:space="preserve">17.8%</w:t>
      </w:r>
    </w:p>
    <w:p>
      <w:pPr>
        <w:pStyle w:val="BodyText"/>
      </w:pPr>
      <w:r>
        <w:t xml:space="preserve">Leadership Development</w:t>
      </w:r>
    </w:p>
    <w:p>
      <w:pPr>
        <w:pStyle w:val="BodyText"/>
      </w:pPr>
      <w:r>
        <w:t xml:space="preserve">+29%</w:t>
      </w:r>
    </w:p>
    <w:p>
      <w:pPr>
        <w:pStyle w:val="BodyText"/>
      </w:pPr>
      <w:r>
        <w:t xml:space="preserve">¥24.5</w:t>
      </w:r>
    </w:p>
    <w:p>
      <w:pPr>
        <w:pStyle w:val="BodyText"/>
      </w:pPr>
      <w:r>
        <w:t xml:space="preserve">Total Japan Tokyo Revenue (2023)</w:t>
      </w:r>
    </w:p>
    <w:p>
      <w:pPr>
        <w:pStyle w:val="BodyText"/>
      </w:pPr>
      <w:r>
        <w:t xml:space="preserve">¥876.3 Million (19% YoY Growth)</w:t>
      </w:r>
    </w:p>
    <w:bookmarkEnd w:id="27"/>
    <w:bookmarkStart w:id="28" w:name="strategic-recommendations-for-2024"/>
    <w:p>
      <w:pPr>
        <w:pStyle w:val="Heading2"/>
      </w:pPr>
      <w:r>
        <w:t xml:space="preserve">Strategic Recommendations for 2024</w:t>
      </w:r>
    </w:p>
    <w:p>
      <w:pPr>
        <w:pStyle w:val="FirstParagraph"/>
      </w:pPr>
      <w:r>
        <w:t xml:space="preserve">Based on this Sales Report, our Tokyo-focused Business Consultant strategy will prioritize:</w:t>
      </w:r>
    </w:p>
    <w:p>
      <w:pPr>
        <w:numPr>
          <w:ilvl w:val="0"/>
          <w:numId w:val="1003"/>
        </w:numPr>
        <w:pStyle w:val="Compact"/>
      </w:pPr>
      <w:r>
        <w:rPr>
          <w:bCs/>
          <w:b/>
        </w:rPr>
        <w:t xml:space="preserve">AI-Powered Localized Analytics:</w:t>
      </w:r>
      <w:r>
        <w:t xml:space="preserve"> </w:t>
      </w:r>
      <w:r>
        <w:t xml:space="preserve">Launching a Tokyo-specific predictive model tracking regulatory shifts and market sentiment.</w:t>
      </w:r>
    </w:p>
    <w:p>
      <w:pPr>
        <w:numPr>
          <w:ilvl w:val="0"/>
          <w:numId w:val="1003"/>
        </w:numPr>
        <w:pStyle w:val="Compact"/>
      </w:pPr>
      <w:r>
        <w:rPr>
          <w:bCs/>
          <w:b/>
        </w:rPr>
        <w:t xml:space="preserve">Niche Industry Hubs:</w:t>
      </w:r>
      <w:r>
        <w:t xml:space="preserve"> </w:t>
      </w:r>
      <w:r>
        <w:t xml:space="preserve">Establishing dedicated teams for Tokyo's emerging sectors (e.g., hydrogen energy, robotics surgery).</w:t>
      </w:r>
    </w:p>
    <w:p>
      <w:pPr>
        <w:numPr>
          <w:ilvl w:val="0"/>
          <w:numId w:val="1003"/>
        </w:numPr>
        <w:pStyle w:val="Compact"/>
      </w:pPr>
      <w:r>
        <w:rPr>
          <w:bCs/>
          <w:b/>
        </w:rPr>
        <w:t xml:space="preserve">Cultural Integration Programs:</w:t>
      </w:r>
      <w:r>
        <w:t xml:space="preserve"> </w:t>
      </w:r>
      <w:r>
        <w:t xml:space="preserve">Partnering with Keio University to develop "Japan Tokyo Business Immersion" certifications for our consultants.</w:t>
      </w:r>
    </w:p>
    <w:p>
      <w:pPr>
        <w:pStyle w:val="FirstParagraph"/>
      </w:pPr>
      <w:r>
        <w:t xml:space="preserve">We project 25% revenue growth in Japan Tokyo for 2024 through these initiatives, driven by sustained demand for expert Business Consultant services in one of the world's most dynamic business markets.</w:t>
      </w:r>
    </w:p>
    <w:bookmarkEnd w:id="28"/>
    <w:bookmarkStart w:id="29" w:name="conclusion"/>
    <w:p>
      <w:pPr>
        <w:pStyle w:val="Heading2"/>
      </w:pPr>
      <w:r>
        <w:t xml:space="preserve">Conclusion</w:t>
      </w:r>
    </w:p>
    <w:p>
      <w:pPr>
        <w:pStyle w:val="FirstParagraph"/>
      </w:pPr>
      <w:r>
        <w:t xml:space="preserve">This Sales Report unequivocally demonstrates how our specialized Business Consultant services have become indispensable to corporate success in Japan Tokyo. By blending global expertise with hyper-local market intelligence, we've delivered exceptional value for clients navigating Tokyo's unique business terrain. The 2023 results confirm that strategic partnership with a culturally attuned Business Consultant is no longer optional—it's the cornerstone of competitive advantage in Japan's most sophisticated market. As we enter 2024, our commitment to delivering transformative outcomes through tailored Business Consultant solutions remains unwavering, ensuring continued leadership in Japan Tokyo.</w:t>
      </w:r>
    </w:p>
    <w:p>
      <w:pPr>
        <w:pStyle w:val="BodyText"/>
      </w:pPr>
      <w:r>
        <w:rPr>
          <w:bCs/>
          <w:b/>
        </w:rPr>
        <w:t xml:space="preserve">Prepared By:</w:t>
      </w:r>
      <w:r>
        <w:t xml:space="preserve"> </w:t>
      </w:r>
      <w:r>
        <w:t xml:space="preserve">Global Strategy Division</w:t>
      </w:r>
      <w:r>
        <w:br/>
      </w:r>
      <w:r>
        <w:rPr>
          <w:bCs/>
          <w:b/>
        </w:rPr>
        <w:t xml:space="preserve">Date:</w:t>
      </w:r>
      <w:r>
        <w:t xml:space="preserve"> </w:t>
      </w:r>
      <w:r>
        <w:t xml:space="preserve">October 26, 2023</w:t>
      </w:r>
      <w:r>
        <w:br/>
      </w:r>
      <w:r>
        <w:rPr>
          <w:bCs/>
          <w:b/>
        </w:rPr>
        <w:t xml:space="preserve">Confidential: For Japan Tokyo Market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Consultant Services in Japan Tokyo Market</dc:title>
  <dc:creator/>
  <dc:language>en</dc:language>
  <cp:keywords/>
  <dcterms:created xsi:type="dcterms:W3CDTF">2026-07-24T06:31:16Z</dcterms:created>
  <dcterms:modified xsi:type="dcterms:W3CDTF">2026-07-24T06:31:16Z</dcterms:modified>
</cp:coreProperties>
</file>

<file path=docProps/custom.xml><?xml version="1.0" encoding="utf-8"?>
<Properties xmlns="http://schemas.openxmlformats.org/officeDocument/2006/custom-properties" xmlns:vt="http://schemas.openxmlformats.org/officeDocument/2006/docPropsVTypes"/>
</file>