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Kuwait</w:t>
      </w:r>
      <w:r>
        <w:t xml:space="preserve"> </w:t>
      </w:r>
      <w:r>
        <w:t xml:space="preserve">City</w:t>
      </w:r>
    </w:p>
    <w:bookmarkStart w:id="29" w:name="X4705d5be96425ec3a3a405dc177aa8147965510"/>
    <w:p>
      <w:pPr>
        <w:pStyle w:val="Heading1"/>
      </w:pPr>
      <w:r>
        <w:t xml:space="preserve">Comprehensive Sales Report: Business Consultant Services in Kuwait City Market</w:t>
      </w:r>
    </w:p>
    <w:bookmarkStart w:id="28" w:name="Xc8fbb007ff10002e89eeb4f6146b09e403ef9b2"/>
    <w:p>
      <w:pPr>
        <w:pStyle w:val="Heading2"/>
      </w:pPr>
      <w:r>
        <w:t xml:space="preserve">Prepared for: Executive Leadership &amp; Stakeholders</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Global Strategy Consulting Division</w:t>
      </w:r>
      <w:r>
        <w:br/>
      </w:r>
      <w:r>
        <w:rPr>
          <w:bCs/>
          <w:b/>
        </w:rPr>
        <w:t xml:space="preserve">Region:</w:t>
      </w:r>
      <w:r>
        <w:t xml:space="preserve"> </w:t>
      </w:r>
      <w:r>
        <w:t xml:space="preserve">Kuwait City, State of Kuwait</w:t>
      </w:r>
    </w:p>
    <w:bookmarkStart w:id="20" w:name="i.-executive-summary"/>
    <w:p>
      <w:pPr>
        <w:pStyle w:val="Heading3"/>
      </w:pPr>
      <w:r>
        <w:t xml:space="preserve">I. Executive Summary</w:t>
      </w:r>
    </w:p>
    <w:p>
      <w:pPr>
        <w:pStyle w:val="FirstParagraph"/>
      </w:pPr>
      <w:r>
        <w:t xml:space="preserve">This Sales Report details the performance of our Business Consultant services across Kuwait City during Q3 2023. The market has demonstrated robust growth potential, with a 17% year-over-year increase in demand for strategic business consulting solutions. Our firm has secured 28 new enterprise contracts valued at $4.8M, exceeding quarterly targets by 12%. This success underscores Kuwait City's evolving business landscape and the critical role of specialized Business Consultant expertise in driving regional economic diversification initiatives.</w:t>
      </w:r>
    </w:p>
    <w:bookmarkEnd w:id="20"/>
    <w:bookmarkStart w:id="21" w:name="X19beb502b363cac83d3cd2d5637daf5ba6027b4"/>
    <w:p>
      <w:pPr>
        <w:pStyle w:val="Heading3"/>
      </w:pPr>
      <w:r>
        <w:t xml:space="preserve">II. Market Context: Kuwait City Business Environment</w:t>
      </w:r>
    </w:p>
    <w:p>
      <w:pPr>
        <w:pStyle w:val="FirstParagraph"/>
      </w:pPr>
      <w:r>
        <w:t xml:space="preserve">Kuwait City remains the epicenter of Gulf business activity, with its economy undergoing significant transformation under Vision 2035. The government's focus on non-oil sector development has created unprecedented demand for professional Business Consultant services. In Q3 alone, 62% of enterprises in Kuwait City reported strategic planning initiatives as top priorities – a 35% increase from Q1 2023. Our Sales Report identifies three key drivers:</w:t>
      </w:r>
    </w:p>
    <w:p>
      <w:pPr>
        <w:numPr>
          <w:ilvl w:val="0"/>
          <w:numId w:val="1001"/>
        </w:numPr>
        <w:pStyle w:val="Compact"/>
      </w:pPr>
      <w:r>
        <w:rPr>
          <w:bCs/>
          <w:b/>
        </w:rPr>
        <w:t xml:space="preserve">Diversification Mandate:</w:t>
      </w:r>
      <w:r>
        <w:t xml:space="preserve"> </w:t>
      </w:r>
      <w:r>
        <w:t xml:space="preserve">Mandatory sectoral diversification across government entities and private enterprises</w:t>
      </w:r>
    </w:p>
    <w:p>
      <w:pPr>
        <w:numPr>
          <w:ilvl w:val="0"/>
          <w:numId w:val="1001"/>
        </w:numPr>
        <w:pStyle w:val="Compact"/>
      </w:pPr>
      <w:r>
        <w:rPr>
          <w:bCs/>
          <w:b/>
        </w:rPr>
        <w:t xml:space="preserve">Investment Surge:</w:t>
      </w:r>
      <w:r>
        <w:t xml:space="preserve"> </w:t>
      </w:r>
      <w:r>
        <w:t xml:space="preserve">$18B in new foreign direct investment projects announced in Kuwait City (Q3 2023)</w:t>
      </w:r>
    </w:p>
    <w:p>
      <w:pPr>
        <w:numPr>
          <w:ilvl w:val="0"/>
          <w:numId w:val="1001"/>
        </w:numPr>
        <w:pStyle w:val="Compact"/>
      </w:pPr>
      <w:r>
        <w:rPr>
          <w:bCs/>
          <w:b/>
        </w:rPr>
        <w:t xml:space="preserve">Talent Development:</w:t>
      </w:r>
      <w:r>
        <w:t xml:space="preserve"> </w:t>
      </w:r>
      <w:r>
        <w:t xml:space="preserve">New regulatory requirements for executive leadership training in all major corporations</w:t>
      </w:r>
    </w:p>
    <w:bookmarkEnd w:id="21"/>
    <w:bookmarkStart w:id="23" w:name="iii.-sales-performance-highlights"/>
    <w:p>
      <w:pPr>
        <w:pStyle w:val="Heading3"/>
      </w:pPr>
      <w:r>
        <w:t xml:space="preserve">III. Sales Performance Highlights</w:t>
      </w:r>
    </w:p>
    <w:p>
      <w:pPr>
        <w:pStyle w:val="FirstParagraph"/>
      </w:pPr>
      <w:r>
        <w:t xml:space="preserve">Our Business Consultant team achieved record performance in Kuwait City with the following key metrics:</w:t>
      </w:r>
    </w:p>
    <w:p>
      <w:pPr>
        <w:pStyle w:val="BodyText"/>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Revenue Generated</w:t>
      </w:r>
    </w:p>
    <w:p>
      <w:pPr>
        <w:pStyle w:val="BodyText"/>
      </w:pPr>
      <w:r>
        <w:t xml:space="preserve">$4.8M USD</w:t>
      </w:r>
    </w:p>
    <w:p>
      <w:pPr>
        <w:pStyle w:val="BodyText"/>
      </w:pPr>
      <w:r>
        <w:t xml:space="preserve">$4.3M USD</w:t>
      </w:r>
    </w:p>
    <w:p>
      <w:pPr>
        <w:pStyle w:val="BodyText"/>
      </w:pPr>
      <w:r>
        <w:t xml:space="preserve">+12%</w:t>
      </w:r>
    </w:p>
    <w:p>
      <w:pPr>
        <w:pStyle w:val="BodyText"/>
      </w:pPr>
      <w:r>
        <w:t xml:space="preserve">New Client Acquisition</w:t>
      </w:r>
    </w:p>
    <w:p>
      <w:pPr>
        <w:pStyle w:val="BodyText"/>
      </w:pPr>
      <w:r>
        <w:t xml:space="preserve">28 Enterprises</w:t>
      </w:r>
    </w:p>
    <w:p>
      <w:pPr>
        <w:pStyle w:val="BodyText"/>
      </w:pPr>
      <w:r>
        <w:t xml:space="preserve">25 Enterprises</w:t>
      </w:r>
    </w:p>
    <w:p>
      <w:pPr>
        <w:pStyle w:val="BodyText"/>
      </w:pPr>
      <w:r>
        <w:t xml:space="preserve">+12%</w:t>
      </w:r>
    </w:p>
    <w:p>
      <w:pPr>
        <w:pStyle w:val="BodyText"/>
      </w:pPr>
      <w:r>
        <w:t xml:space="preserve">94%</w:t>
      </w:r>
    </w:p>
    <w:p>
      <w:pPr>
        <w:pStyle w:val="BodyText"/>
      </w:pPr>
      <w:r>
        <w:t xml:space="preserve">Market Share in Kuwait City Consulting Sector (Q3)</w:t>
      </w:r>
    </w:p>
    <w:bookmarkStart w:id="22" w:name="key-client-successes"/>
    <w:p>
      <w:pPr>
        <w:pStyle w:val="Heading4"/>
      </w:pPr>
      <w:r>
        <w:t xml:space="preserve">Key Client Successes:</w:t>
      </w:r>
    </w:p>
    <w:p>
      <w:pPr>
        <w:numPr>
          <w:ilvl w:val="0"/>
          <w:numId w:val="1002"/>
        </w:numPr>
        <w:pStyle w:val="Compact"/>
      </w:pPr>
      <w:r>
        <w:rPr>
          <w:bCs/>
          <w:b/>
        </w:rPr>
        <w:t xml:space="preserve">Kuwait National Bank (KNB):</w:t>
      </w:r>
      <w:r>
        <w:t xml:space="preserve"> </w:t>
      </w:r>
      <w:r>
        <w:t xml:space="preserve">$1.2M contract for enterprise transformation strategy, enabling digital migration of 230+ branches across Kuwait City</w:t>
      </w:r>
    </w:p>
    <w:p>
      <w:pPr>
        <w:numPr>
          <w:ilvl w:val="0"/>
          <w:numId w:val="1002"/>
        </w:numPr>
        <w:pStyle w:val="Compact"/>
      </w:pPr>
      <w:r>
        <w:rPr>
          <w:bCs/>
          <w:b/>
        </w:rPr>
        <w:t xml:space="preserve">Alshaya Group:</w:t>
      </w:r>
      <w:r>
        <w:t xml:space="preserve"> </w:t>
      </w:r>
      <w:r>
        <w:t xml:space="preserve">Strategic reorganization project valued at $950K, optimizing retail operations across 8 countries with Kuwait City headquarters</w:t>
      </w:r>
    </w:p>
    <w:p>
      <w:pPr>
        <w:numPr>
          <w:ilvl w:val="0"/>
          <w:numId w:val="1002"/>
        </w:numPr>
        <w:pStyle w:val="Compact"/>
      </w:pPr>
      <w:r>
        <w:rPr>
          <w:bCs/>
          <w:b/>
        </w:rPr>
        <w:t xml:space="preserve">Kuwait Petroleum Corporation (KPC):</w:t>
      </w:r>
      <w:r>
        <w:t xml:space="preserve"> </w:t>
      </w:r>
      <w:r>
        <w:t xml:space="preserve">$750K contract for sustainable energy transition roadmap aligned with Vision 2035 objectives</w:t>
      </w:r>
    </w:p>
    <w:bookmarkEnd w:id="22"/>
    <w:bookmarkEnd w:id="23"/>
    <w:bookmarkStart w:id="24" w:name="X5759b5346a06c5c2dd81380830f66cc1dd6ae8b"/>
    <w:p>
      <w:pPr>
        <w:pStyle w:val="Heading3"/>
      </w:pPr>
      <w:r>
        <w:t xml:space="preserve">IV. Sector Analysis in Kuwait City Market</w:t>
      </w:r>
    </w:p>
    <w:p>
      <w:pPr>
        <w:pStyle w:val="FirstParagraph"/>
      </w:pPr>
      <w:r>
        <w:t xml:space="preserve">The Sales Report reveals significant sector-specific opportunities:</w:t>
      </w:r>
    </w:p>
    <w:p>
      <w:pPr>
        <w:pStyle w:val="BodyText"/>
      </w:pPr>
      <w:r>
        <w:t xml:space="preserve">Sector</w:t>
      </w:r>
    </w:p>
    <w:p>
      <w:pPr>
        <w:pStyle w:val="BodyText"/>
      </w:pPr>
      <w:r>
        <w:t xml:space="preserve">Market Growth (Q3)</w:t>
      </w:r>
    </w:p>
    <w:p>
      <w:pPr>
        <w:pStyle w:val="BodyText"/>
      </w:pPr>
      <w:r>
        <w:t xml:space="preserve">Our Contract Value</w:t>
      </w:r>
    </w:p>
    <w:p>
      <w:pPr>
        <w:pStyle w:val="BodyText"/>
      </w:pPr>
      <w:r>
        <w:t xml:space="preserve">Financial Services</w:t>
      </w:r>
    </w:p>
    <w:p>
      <w:pPr>
        <w:pStyle w:val="BodyText"/>
      </w:pPr>
      <w:r>
        <w:t xml:space="preserve">24%</w:t>
      </w:r>
    </w:p>
    <w:p>
      <w:pPr>
        <w:pStyle w:val="BodyText"/>
      </w:pPr>
      <w:r>
        <w:t xml:space="preserve">$1.8M (37% of total)</w:t>
      </w:r>
    </w:p>
    <w:p>
      <w:pPr>
        <w:pStyle w:val="BodyText"/>
      </w:pPr>
      <w:r>
        <w:t xml:space="preserve">Energy &amp; Utilities</w:t>
      </w:r>
    </w:p>
    <w:p>
      <w:pPr>
        <w:pStyle w:val="BodyText"/>
      </w:pPr>
      <w:r>
        <w:t xml:space="preserve">18%</w:t>
      </w:r>
    </w:p>
    <w:p>
      <w:pPr>
        <w:pStyle w:val="BodyText"/>
      </w:pPr>
      <w:r>
        <w:rPr>
          <w:bCs/>
          <w:b/>
        </w:rPr>
        <w:t xml:space="preserve">$1.5M (31% of total)</w:t>
      </w:r>
    </w:p>
    <w:p>
      <w:pPr>
        <w:pStyle w:val="BodyText"/>
      </w:pPr>
      <w:r>
        <w:t xml:space="preserve">Retail &amp; Consumer Goods</w:t>
      </w:r>
    </w:p>
    <w:p>
      <w:pPr>
        <w:pStyle w:val="BodyText"/>
      </w:pPr>
      <w:r>
        <w:t xml:space="preserve">29%</w:t>
      </w:r>
    </w:p>
    <w:p>
      <w:pPr>
        <w:pStyle w:val="BodyText"/>
      </w:pPr>
      <w:r>
        <w:t xml:space="preserve">$750K (16% of total)</w:t>
      </w:r>
    </w:p>
    <w:p>
      <w:pPr>
        <w:pStyle w:val="BodyText"/>
      </w:pPr>
      <w:r>
        <w:t xml:space="preserve">Government Entities</w:t>
      </w:r>
    </w:p>
    <w:p>
      <w:pPr>
        <w:pStyle w:val="BodyText"/>
      </w:pPr>
      <w:r>
        <w:t xml:space="preserve">38%</w:t>
      </w:r>
    </w:p>
    <w:p>
      <w:pPr>
        <w:pStyle w:val="BodyText"/>
      </w:pPr>
      <w:r>
        <w:t xml:space="preserve">$700K (15% of total)</w:t>
      </w:r>
    </w:p>
    <w:p>
      <w:pPr>
        <w:pStyle w:val="BodyText"/>
      </w:pPr>
      <w:r>
        <w:t xml:space="preserve">The government sector showed exceptional growth, driven by new regulatory frameworks requiring strategic consultancy. Our Business Consultant team successfully navigated the complex public procurement landscape in Kuwait City to secure four contracts with key ministries including the Ministry of Finance and Ministry of Commerce.</w:t>
      </w:r>
    </w:p>
    <w:bookmarkEnd w:id="24"/>
    <w:bookmarkStart w:id="25" w:name="v.-competitive-landscape-assessment"/>
    <w:p>
      <w:pPr>
        <w:pStyle w:val="Heading3"/>
      </w:pPr>
      <w:r>
        <w:t xml:space="preserve">V. Competitive Landscape Assessment</w:t>
      </w:r>
    </w:p>
    <w:p>
      <w:pPr>
        <w:pStyle w:val="FirstParagraph"/>
      </w:pPr>
      <w:r>
        <w:t xml:space="preserve">While international consulting firms maintain presence, local market dynamics favor specialized Business Consultant expertise. Our unique value proposition – deep understanding of Kuwait City's regulatory environment, cultural nuances, and business practices – has been critical to our success. Unlike global competitors who often lack on-ground operational knowledge in Kuwait City:</w:t>
      </w:r>
    </w:p>
    <w:p>
      <w:pPr>
        <w:numPr>
          <w:ilvl w:val="0"/>
          <w:numId w:val="1003"/>
        </w:numPr>
        <w:pStyle w:val="Compact"/>
      </w:pPr>
      <w:r>
        <w:t xml:space="preserve">Our team averages 12+ years of GCC market experience</w:t>
      </w:r>
    </w:p>
    <w:p>
      <w:pPr>
        <w:numPr>
          <w:ilvl w:val="0"/>
          <w:numId w:val="1003"/>
        </w:numPr>
        <w:pStyle w:val="Compact"/>
      </w:pPr>
      <w:r>
        <w:t xml:space="preserve">90% of consultants are fluent in Arabic with local business credentials</w:t>
      </w:r>
    </w:p>
    <w:p>
      <w:pPr>
        <w:numPr>
          <w:ilvl w:val="0"/>
          <w:numId w:val="1003"/>
        </w:numPr>
        <w:pStyle w:val="Compact"/>
      </w:pPr>
      <w:r>
        <w:t xml:space="preserve">We operate from a dedicated Kuwait City office with full government accreditation</w:t>
      </w:r>
    </w:p>
    <w:bookmarkEnd w:id="25"/>
    <w:bookmarkStart w:id="26" w:name="Xe31a6aeec5dad22ccf73d8149e7a12794e844c2"/>
    <w:p>
      <w:pPr>
        <w:pStyle w:val="Heading3"/>
      </w:pPr>
      <w:r>
        <w:t xml:space="preserve">VI. Strategic Recommendations for Q4 2023</w:t>
      </w:r>
    </w:p>
    <w:p>
      <w:pPr>
        <w:pStyle w:val="FirstParagraph"/>
      </w:pPr>
      <w:r>
        <w:t xml:space="preserve">Based on our Sales Report analysis, we propose the following initiatives to capitalize on Kuwait City's growth trajectory:</w:t>
      </w:r>
    </w:p>
    <w:p>
      <w:pPr>
        <w:numPr>
          <w:ilvl w:val="0"/>
          <w:numId w:val="1004"/>
        </w:numPr>
        <w:pStyle w:val="Compact"/>
      </w:pPr>
      <w:r>
        <w:rPr>
          <w:bCs/>
          <w:b/>
        </w:rPr>
        <w:t xml:space="preserve">Sector-Specific Service Expansion:</w:t>
      </w:r>
      <w:r>
        <w:t xml:space="preserve"> </w:t>
      </w:r>
      <w:r>
        <w:t xml:space="preserve">Develop tailored packages for Kuwait City's high-growth sectors including renewable energy consulting (addressing KEPIC's new solar mandates) and digital transformation for financial institutions.</w:t>
      </w:r>
    </w:p>
    <w:p>
      <w:pPr>
        <w:numPr>
          <w:ilvl w:val="0"/>
          <w:numId w:val="1004"/>
        </w:numPr>
        <w:pStyle w:val="Compact"/>
      </w:pPr>
      <w:r>
        <w:rPr>
          <w:bCs/>
          <w:b/>
        </w:rPr>
        <w:t xml:space="preserve">Government Partnership Program:</w:t>
      </w:r>
      <w:r>
        <w:t xml:space="preserve"> </w:t>
      </w:r>
      <w:r>
        <w:t xml:space="preserve">Establish formal collaboration with the Kuwait Investment Authority to position as preferred Business Consultant for sovereign wealth fund initiatives.</w:t>
      </w:r>
    </w:p>
    <w:p>
      <w:pPr>
        <w:numPr>
          <w:ilvl w:val="0"/>
          <w:numId w:val="1004"/>
        </w:numPr>
        <w:pStyle w:val="Compact"/>
      </w:pPr>
      <w:r>
        <w:rPr>
          <w:bCs/>
          <w:b/>
        </w:rPr>
        <w:t xml:space="preserve">Talent Development Initiative:</w:t>
      </w:r>
      <w:r>
        <w:t xml:space="preserve"> </w:t>
      </w:r>
      <w:r>
        <w:t xml:space="preserve">Launch "Kuwait City Leadership Accelerator" program targeting mid-level executives across key enterprises, directly addressing the market's talent development needs.</w:t>
      </w:r>
    </w:p>
    <w:p>
      <w:pPr>
        <w:numPr>
          <w:ilvl w:val="0"/>
          <w:numId w:val="1004"/>
        </w:numPr>
        <w:pStyle w:val="Compact"/>
      </w:pPr>
      <w:r>
        <w:rPr>
          <w:bCs/>
          <w:b/>
        </w:rPr>
        <w:t xml:space="preserve">Digital Sales Enablement:</w:t>
      </w:r>
      <w:r>
        <w:t xml:space="preserve"> </w:t>
      </w:r>
      <w:r>
        <w:t xml:space="preserve">Implement CRM optimization specifically for Kuwait City's complex enterprise procurement cycles to shorten sales cycles by 25%.</w:t>
      </w:r>
    </w:p>
    <w:bookmarkEnd w:id="26"/>
    <w:bookmarkStart w:id="27" w:name="X4c8c27a74d343e4427aa9c494e052f7097a6b9d"/>
    <w:p>
      <w:pPr>
        <w:pStyle w:val="Heading3"/>
      </w:pPr>
      <w:r>
        <w:t xml:space="preserve">VII. Conclusion: The Future of Business Consultant Services in Kuwait City</w:t>
      </w:r>
    </w:p>
    <w:p>
      <w:pPr>
        <w:pStyle w:val="FirstParagraph"/>
      </w:pPr>
      <w:r>
        <w:t xml:space="preserve">This Sales Report confirms that strategic business consulting has become indispensable to Kuwait City enterprises navigating economic transformation. The demand is not merely for temporary solutions, but for ongoing partnership with a trusted Business Consultant who understands the unique dynamics of Kuwait's market. With Vision 2035 accelerating diversification efforts, we project the Kuwait City consulting market will grow at 21% CAGR through 2026.</w:t>
      </w:r>
    </w:p>
    <w:p>
      <w:pPr>
        <w:pStyle w:val="BodyText"/>
      </w:pPr>
      <w:r>
        <w:t xml:space="preserve">Our success in Q3 demonstrates that specialized local expertise combined with global best practices creates unmatched value. We are positioned to capture significant market share as Kuwait City businesses recognize that sustainable growth requires more than generic advice – it demands a Business Consultant who speaks the language of Kuwaiti commerce, understands government frameworks, and delivers culturally resonant solutions.</w:t>
      </w:r>
    </w:p>
    <w:p>
      <w:pPr>
        <w:pStyle w:val="BodyText"/>
      </w:pPr>
      <w:r>
        <w:t xml:space="preserve">As we move into Q4 2023, our focus will intensify on leveraging these relationships to become the preeminent Business Consultant partner across Kuwait City's most influential enterprises. The economic transformation underway in Kuwait City isn't just creating opportunities – it's fundamentally reshaping how businesses operate, and our strategic consulting services are at the heart of this evolution.</w:t>
      </w:r>
    </w:p>
    <w:p>
      <w:pPr>
        <w:pStyle w:val="BodyText"/>
      </w:pPr>
      <w:r>
        <w:rPr>
          <w:bCs/>
          <w:b/>
        </w:rPr>
        <w:t xml:space="preserve">Prepared by:</w:t>
      </w:r>
      <w:r>
        <w:t xml:space="preserve"> </w:t>
      </w:r>
      <w:r>
        <w:t xml:space="preserve">Global Strategy Consulting Division</w:t>
      </w:r>
      <w:r>
        <w:br/>
      </w:r>
      <w:r>
        <w:rPr>
          <w:bCs/>
          <w:b/>
        </w:rPr>
        <w:t xml:space="preserve">Contact:</w:t>
      </w:r>
      <w:r>
        <w:t xml:space="preserve"> </w:t>
      </w:r>
      <w:r>
        <w:t xml:space="preserve">info@globalstrategy-kuwait.com | +965 2200 8811</w:t>
      </w:r>
      <w:r>
        <w:br/>
      </w:r>
      <w:r>
        <w:rPr>
          <w:iCs/>
          <w:i/>
        </w:rPr>
        <w:t xml:space="preserve">This Sales Report is confidential and proprietary to Global Strategy Consulting, a licensed business consultant firm in Kuwait City.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 Kuwait City</dc:title>
  <dc:creator/>
  <dc:language>en</dc:language>
  <cp:keywords/>
  <dcterms:created xsi:type="dcterms:W3CDTF">2025-12-10T09:59:12Z</dcterms:created>
  <dcterms:modified xsi:type="dcterms:W3CDTF">2025-12-10T09:59:12Z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