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9b8dc2735b5d581f849899d2e237d2c11f8c03"/>
    <w:p>
      <w:pPr>
        <w:pStyle w:val="Heading1"/>
      </w:pPr>
      <w:r>
        <w:t xml:space="preserve">Q3 2023 Sales Report: Business Consultant Services Performance in Malaysia Kuala Lumpur</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business consulting services across Malaysia, with a primary focus on Kuala Lumpur—the economic heart of Southeast Asia. As a premier</w:t>
      </w:r>
      <w:r>
        <w:t xml:space="preserve"> </w:t>
      </w:r>
      <w:r>
        <w:rPr>
          <w:bCs/>
          <w:b/>
        </w:rPr>
        <w:t xml:space="preserve">Business Consultant</w:t>
      </w:r>
      <w:r>
        <w:t xml:space="preserve"> </w:t>
      </w:r>
      <w:r>
        <w:t xml:space="preserve">firm operating exclusively in Malaysia Kuala Lumpur since 2015, we achieved remarkable growth during Q3 2023, exceeding revenue targets by 18.7%. This success underscores our strategic positioning within the dynamic business landscape of Malaysia Kuala Lumpur, where we've consistently delivered value to enterprises navigating digital transformation and market expansion.</w:t>
      </w:r>
    </w:p>
    <w:bookmarkEnd w:id="20"/>
    <w:bookmarkStart w:id="21" w:name="Xb2792b5fa9e00a6aaa04d787db73e756ca9ece9"/>
    <w:p>
      <w:pPr>
        <w:pStyle w:val="Heading2"/>
      </w:pPr>
      <w:r>
        <w:t xml:space="preserve">Market Context: Malaysia Kuala Lumpur's Business Ecosystem</w:t>
      </w:r>
    </w:p>
    <w:p>
      <w:pPr>
        <w:pStyle w:val="FirstParagraph"/>
      </w:pPr>
      <w:r>
        <w:t xml:space="preserve">Kuala Lumpur remains the undisputed business hub of Malaysia, hosting 83% of the nation's Fortune 500 subsidiaries and driving 47% of GDP. Our</w:t>
      </w:r>
      <w:r>
        <w:t xml:space="preserve"> </w:t>
      </w:r>
      <w:r>
        <w:rPr>
          <w:bCs/>
          <w:b/>
        </w:rPr>
        <w:t xml:space="preserve">Business Consultant</w:t>
      </w:r>
      <w:r>
        <w:t xml:space="preserve"> </w:t>
      </w:r>
      <w:r>
        <w:t xml:space="preserve">team leverages deep local expertise to address unique challenges in this environment, including rapid urbanization, multicultural workforce management, and ASEAN market integration. The Q3 report confirms that 92% of our new engagements originated from Kuala Lumpur-based corporations seeking strategic guidance in compliance with Malaysia's Digital Economy Blueprint and the ASEAN Economic Community framework.</w:t>
      </w:r>
    </w:p>
    <w:bookmarkEnd w:id="21"/>
    <w:bookmarkStart w:id="22"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(RM)</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Digital Transformation Strategy</w:t>
            </w:r>
          </w:p>
        </w:tc>
        <w:tc>
          <w:tcPr/>
          <w:p>
            <w:pPr>
              <w:pStyle w:val="Compact"/>
              <w:jc w:val="left"/>
            </w:pPr>
            <w:r>
              <w:t xml:space="preserve">1,850,000</w:t>
            </w:r>
          </w:p>
        </w:tc>
        <w:tc>
          <w:tcPr/>
          <w:p>
            <w:pPr>
              <w:pStyle w:val="Compact"/>
              <w:jc w:val="left"/>
            </w:pPr>
            <w:r>
              <w:t xml:space="preserve">42.3%</w:t>
            </w:r>
          </w:p>
        </w:tc>
        <w:tc>
          <w:tcPr/>
          <w:p>
            <w:pPr>
              <w:pStyle w:val="Compact"/>
              <w:jc w:val="left"/>
            </w:pPr>
            <w:r>
              <w:t xml:space="preserve">+34.1%</w:t>
            </w:r>
          </w:p>
        </w:tc>
      </w:tr>
      <w:tr>
        <w:tc>
          <w:tcPr/>
          <w:p>
            <w:pPr>
              <w:pStyle w:val="Compact"/>
              <w:jc w:val="left"/>
            </w:pPr>
            <w:r>
              <w:t xml:space="preserve">Supply Chain Optimization</w:t>
            </w:r>
          </w:p>
        </w:tc>
        <w:tc>
          <w:tcPr/>
          <w:p>
            <w:pPr>
              <w:pStyle w:val="Compact"/>
              <w:jc w:val="left"/>
            </w:pPr>
            <w:r>
              <w:t xml:space="preserve">1,275,000</w:t>
            </w:r>
          </w:p>
        </w:tc>
        <w:tc>
          <w:tcPr/>
          <w:p>
            <w:pPr>
              <w:pStyle w:val="Compact"/>
              <w:jc w:val="left"/>
            </w:pPr>
            <w:r>
              <w:t xml:space="preserve">29.1%</w:t>
            </w:r>
          </w:p>
        </w:tc>
        <w:tc>
          <w:tcPr/>
          <w:p>
            <w:pPr>
              <w:pStyle w:val="Compact"/>
              <w:jc w:val="left"/>
            </w:pPr>
            <w:r>
              <w:t xml:space="preserve">+28.7%</w:t>
            </w:r>
          </w:p>
        </w:tc>
      </w:tr>
      <w:tr>
        <w:tc>
          <w:tcPr/>
          <w:p>
            <w:pPr>
              <w:pStyle w:val="Compact"/>
              <w:jc w:val="left"/>
            </w:pPr>
            <w:r>
              <w:t xml:space="preserve">Multinational Compliance Advisory</w:t>
            </w:r>
          </w:p>
        </w:tc>
        <w:tc>
          <w:tcPr/>
          <w:p>
            <w:pPr>
              <w:pStyle w:val="Compact"/>
              <w:jc w:val="left"/>
            </w:pPr>
            <w:r>
              <w:t xml:space="preserve">895,000</w:t>
            </w:r>
          </w:p>
        </w:tc>
        <w:tc>
          <w:tcPr/>
          <w:p>
            <w:pPr>
              <w:pStyle w:val="Compact"/>
              <w:jc w:val="left"/>
            </w:pPr>
            <w:r>
              <w:t xml:space="preserve">20.4%</w:t>
            </w:r>
          </w:p>
        </w:tc>
        <w:tc>
          <w:tcPr/>
          <w:p>
            <w:pPr>
              <w:pStyle w:val="Compact"/>
              <w:jc w:val="left"/>
            </w:pPr>
            <w:r>
              <w:t xml:space="preserve">+41.3%</w:t>
            </w:r>
          </w:p>
        </w:tc>
      </w:tr>
      <w:tr>
        <w:tc>
          <w:tcPr/>
          <w:p>
            <w:pPr>
              <w:pStyle w:val="Compact"/>
              <w:jc w:val="left"/>
            </w:pPr>
            <w:r>
              <w:t xml:space="preserve">Emerging Market Entry (ASEAN)</w:t>
            </w:r>
          </w:p>
        </w:tc>
        <w:tc>
          <w:tcPr/>
          <w:p>
            <w:pPr>
              <w:pStyle w:val="Compact"/>
              <w:jc w:val="left"/>
            </w:pPr>
            <w:r>
              <w:t xml:space="preserve">387,500</w:t>
            </w:r>
          </w:p>
        </w:tc>
        <w:tc>
          <w:tcPr/>
          <w:p>
            <w:pPr>
              <w:pStyle w:val="Compact"/>
              <w:jc w:val="left"/>
            </w:pPr>
            <w:r>
              <w:t xml:space="preserve">8.9%</w:t>
            </w:r>
          </w:p>
        </w:tc>
        <w:tc>
          <w:tcPr/>
          <w:p>
            <w:pPr>
              <w:pStyle w:val="Compact"/>
              <w:jc w:val="left"/>
            </w:pPr>
            <w:r>
              <w:t xml:space="preserve">+62.5%</w:t>
            </w:r>
          </w:p>
        </w:tc>
      </w:tr>
    </w:tbl>
    <w:p>
      <w:pPr>
        <w:pStyle w:val="BodyText"/>
      </w:pPr>
      <w:r>
        <w:t xml:space="preserve">The Malaysia Kuala Lumpur market contributed 94% of our total Q3 revenue, with the digital transformation segment experiencing explosive growth due to government incentives like the MYDIGITAL initiative. Notably, our partnership with KL-based fintech unicorn "PayLanka" resulted in a RM1.85M engagement for enterprise-level AI integration—demonstrating how our</w:t>
      </w:r>
      <w:r>
        <w:t xml:space="preserve"> </w:t>
      </w:r>
      <w:r>
        <w:rPr>
          <w:bCs/>
          <w:b/>
        </w:rPr>
        <w:t xml:space="preserve">Business Consultant</w:t>
      </w:r>
      <w:r>
        <w:t xml:space="preserve"> </w:t>
      </w:r>
      <w:r>
        <w:t xml:space="preserve">expertise directly drives client revenue growth.</w:t>
      </w:r>
    </w:p>
    <w:bookmarkEnd w:id="22"/>
    <w:bookmarkStart w:id="23" w:name="Xd89027574e087553ef8146366f57da1b66d8822"/>
    <w:p>
      <w:pPr>
        <w:pStyle w:val="Heading2"/>
      </w:pPr>
      <w:r>
        <w:t xml:space="preserve">Client Success Story: Kuala Lumpur Retail Giant</w:t>
      </w:r>
    </w:p>
    <w:p>
      <w:pPr>
        <w:pStyle w:val="FirstParagraph"/>
      </w:pPr>
      <w:r>
        <w:t xml:space="preserve">A flagship project with "Merdeka Department Store" (headquartered in Bukit Bintang, Kuala Lumpur) exemplifies our value proposition. Facing 15% annual sales decline due to e-commerce competition, our</w:t>
      </w:r>
      <w:r>
        <w:t xml:space="preserve"> </w:t>
      </w:r>
      <w:r>
        <w:rPr>
          <w:bCs/>
          <w:b/>
        </w:rPr>
        <w:t xml:space="preserve">Business Consultant</w:t>
      </w:r>
      <w:r>
        <w:t xml:space="preserve"> </w:t>
      </w:r>
      <w:r>
        <w:t xml:space="preserve">team deployed a 6-month transformation roadmap. Key outcomes included:</w:t>
      </w:r>
    </w:p>
    <w:p>
      <w:pPr>
        <w:numPr>
          <w:ilvl w:val="0"/>
          <w:numId w:val="1001"/>
        </w:numPr>
        <w:pStyle w:val="Compact"/>
      </w:pPr>
      <w:r>
        <w:t xml:space="preserve">Implementation of omnichannel retail system (reducing operational costs by 27%)</w:t>
      </w:r>
    </w:p>
    <w:p>
      <w:pPr>
        <w:numPr>
          <w:ilvl w:val="0"/>
          <w:numId w:val="1001"/>
        </w:numPr>
        <w:pStyle w:val="Compact"/>
      </w:pPr>
      <w:r>
        <w:t xml:space="preserve">Workforce reskilling program addressing Malaysia's digital talent gap</w:t>
      </w:r>
    </w:p>
    <w:p>
      <w:pPr>
        <w:numPr>
          <w:ilvl w:val="0"/>
          <w:numId w:val="1001"/>
        </w:numPr>
        <w:pStyle w:val="Compact"/>
      </w:pPr>
      <w:r>
        <w:t xml:space="preserve">Expansion into Singapore via ASEAN market entry strategy</w:t>
      </w:r>
    </w:p>
    <w:p>
      <w:pPr>
        <w:pStyle w:val="FirstParagraph"/>
      </w:pPr>
      <w:r>
        <w:t xml:space="preserve">This engagement not only reversed Merdeka's decline but generated RM4.2M in new annual revenue—making it the largest single-client project in our Malaysia Kuala Lumpur history. Client CMO noted: "Their Malaysia-specific insights transformed our survival into market leadership."</w:t>
      </w:r>
    </w:p>
    <w:bookmarkEnd w:id="23"/>
    <w:bookmarkStart w:id="24" w:name="X5f3ee5a3a9fe3bb02fc1409564ddbb8ddda904f"/>
    <w:p>
      <w:pPr>
        <w:pStyle w:val="Heading2"/>
      </w:pPr>
      <w:r>
        <w:t xml:space="preserve">Competitive Differentiation in Malaysia Kuala Lumpur</w:t>
      </w:r>
    </w:p>
    <w:p>
      <w:pPr>
        <w:pStyle w:val="FirstParagraph"/>
      </w:pPr>
      <w:r>
        <w:t xml:space="preserve">Our Q3 data reveals why clients prioritize us as their preferred</w:t>
      </w:r>
      <w:r>
        <w:t xml:space="preserve"> </w:t>
      </w:r>
      <w:r>
        <w:rPr>
          <w:bCs/>
          <w:b/>
        </w:rPr>
        <w:t xml:space="preserve">Business Consultant</w:t>
      </w:r>
      <w:r>
        <w:t xml:space="preserve"> </w:t>
      </w:r>
      <w:r>
        <w:t xml:space="preserve">in Malaysia Kuala Lumpur:</w:t>
      </w:r>
    </w:p>
    <w:p>
      <w:pPr>
        <w:numPr>
          <w:ilvl w:val="0"/>
          <w:numId w:val="1002"/>
        </w:numPr>
        <w:pStyle w:val="Compact"/>
      </w:pPr>
      <w:r>
        <w:rPr>
          <w:bCs/>
          <w:b/>
        </w:rPr>
        <w:t xml:space="preserve">Cultural Intelligence:</w:t>
      </w:r>
      <w:r>
        <w:t xml:space="preserve"> </w:t>
      </w:r>
      <w:r>
        <w:t xml:space="preserve">100% of consultants are fluent in Malay and English, enabling seamless stakeholder engagement across Malay-Chinese-Indian corporate hierarchies.</w:t>
      </w:r>
    </w:p>
    <w:p>
      <w:pPr>
        <w:numPr>
          <w:ilvl w:val="0"/>
          <w:numId w:val="1002"/>
        </w:numPr>
        <w:pStyle w:val="Compact"/>
      </w:pPr>
      <w:r>
        <w:rPr>
          <w:bCs/>
          <w:b/>
        </w:rPr>
        <w:t xml:space="preserve">Regulatory Mastery:</w:t>
      </w:r>
      <w:r>
        <w:t xml:space="preserve"> </w:t>
      </w:r>
      <w:r>
        <w:t xml:space="preserve">Deep understanding of Bank Negara Malaysia guidelines and KL's Business Development Centre (BDC) ecosystem.</w:t>
      </w:r>
    </w:p>
    <w:p>
      <w:pPr>
        <w:numPr>
          <w:ilvl w:val="0"/>
          <w:numId w:val="1002"/>
        </w:numPr>
        <w:pStyle w:val="Compact"/>
      </w:pPr>
      <w:r>
        <w:rPr>
          <w:bCs/>
          <w:b/>
        </w:rPr>
        <w:t xml:space="preserve">Hyperlocal Network:</w:t>
      </w:r>
      <w:r>
        <w:t xml:space="preserve"> </w:t>
      </w:r>
      <w:r>
        <w:t xml:space="preserve">Strategic partnerships with 47 Kuala Lumpur chambers of commerce, including the Malaysian Chinese Association (MCA) and Kuala Lumpur Chamber of Commerce.</w:t>
      </w:r>
    </w:p>
    <w:bookmarkEnd w:id="24"/>
    <w:bookmarkStart w:id="25" w:name="challenges-strategic-response"/>
    <w:p>
      <w:pPr>
        <w:pStyle w:val="Heading2"/>
      </w:pPr>
      <w:r>
        <w:t xml:space="preserve">Challenges &amp; Strategic Response</w:t>
      </w:r>
    </w:p>
    <w:p>
      <w:pPr>
        <w:pStyle w:val="FirstParagraph"/>
      </w:pPr>
      <w:r>
        <w:t xml:space="preserve">The Malaysia Kuala Lumpur market presented two key challenges in Q3:</w:t>
      </w:r>
    </w:p>
    <w:p>
      <w:pPr>
        <w:numPr>
          <w:ilvl w:val="0"/>
          <w:numId w:val="1003"/>
        </w:numPr>
        <w:pStyle w:val="Compact"/>
      </w:pPr>
      <w:r>
        <w:rPr>
          <w:iCs/>
          <w:i/>
        </w:rPr>
        <w:t xml:space="preserve">Post-pandemic Talent Scarcity:</w:t>
      </w:r>
      <w:r>
        <w:t xml:space="preserve"> </w:t>
      </w:r>
      <w:r>
        <w:t xml:space="preserve">68% of clients reported difficulty hiring tech-savvy staff. Our solution: Launched the "KL Talent Accelerator" program, co-created with Universiti Malaya, placing 127 graduates into client firms.</w:t>
      </w:r>
    </w:p>
    <w:p>
      <w:pPr>
        <w:numPr>
          <w:ilvl w:val="0"/>
          <w:numId w:val="1003"/>
        </w:numPr>
        <w:pStyle w:val="Compact"/>
      </w:pPr>
      <w:r>
        <w:rPr>
          <w:iCs/>
          <w:i/>
        </w:rPr>
        <w:t xml:space="preserve">Competition from International Firms:</w:t>
      </w:r>
      <w:r>
        <w:t xml:space="preserve"> </w:t>
      </w:r>
      <w:r>
        <w:t xml:space="preserve">Foreign consultancies undercut pricing by 15-20%. We countered by bundling our Malaysia-specific insights (e.g., Bumiputera Business Development policies) into premium service packages.</w:t>
      </w:r>
    </w:p>
    <w:bookmarkEnd w:id="25"/>
    <w:bookmarkStart w:id="26" w:name="q4-projections-recommendations"/>
    <w:p>
      <w:pPr>
        <w:pStyle w:val="Heading2"/>
      </w:pPr>
      <w:r>
        <w:t xml:space="preserve">Q4 Projections &amp; Recommendations</w:t>
      </w:r>
    </w:p>
    <w:p>
      <w:pPr>
        <w:pStyle w:val="FirstParagraph"/>
      </w:pPr>
      <w:r>
        <w:t xml:space="preserve">Based on Q3 momentum, our Sales Report forecasts 22% YoY growth for FY2023. Key recommendations for Malaysia Kuala Lumpur operations include:</w:t>
      </w:r>
    </w:p>
    <w:p>
      <w:pPr>
        <w:numPr>
          <w:ilvl w:val="0"/>
          <w:numId w:val="1004"/>
        </w:numPr>
        <w:pStyle w:val="Compact"/>
      </w:pPr>
      <w:r>
        <w:rPr>
          <w:bCs/>
          <w:b/>
        </w:rPr>
        <w:t xml:space="preserve">Expand KL Innovation Hub:</w:t>
      </w:r>
      <w:r>
        <w:t xml:space="preserve"> </w:t>
      </w:r>
      <w:r>
        <w:t xml:space="preserve">Allocate RM500K to establish a dedicated co-working space at the new Bangsar Tech Park, targeting SMEs in high-growth sectors (green tech, healthtech).</w:t>
      </w:r>
    </w:p>
    <w:p>
      <w:pPr>
        <w:numPr>
          <w:ilvl w:val="0"/>
          <w:numId w:val="1004"/>
        </w:numPr>
        <w:pStyle w:val="Compact"/>
      </w:pPr>
      <w:r>
        <w:rPr>
          <w:bCs/>
          <w:b/>
        </w:rPr>
        <w:t xml:space="preserve">Develop Malaysia-Specific Frameworks:</w:t>
      </w:r>
      <w:r>
        <w:t xml:space="preserve"> </w:t>
      </w:r>
      <w:r>
        <w:t xml:space="preserve">Create "KL Market Entry Playbook" addressing challenges unique to our ecosystem (e.g., customs clearance for ASEAN shipments).</w:t>
      </w:r>
    </w:p>
    <w:bookmarkEnd w:id="26"/>
    <w:bookmarkStart w:id="27" w:name="X0f72dbefc16b8752b3163853e4306df1206ac18"/>
    <w:p>
      <w:pPr>
        <w:pStyle w:val="Heading2"/>
      </w:pPr>
      <w:r>
        <w:t xml:space="preserve">Conclusion: Strategic Positioning in Malaysia Kuala Lumpur</w:t>
      </w:r>
    </w:p>
    <w:p>
      <w:pPr>
        <w:pStyle w:val="FirstParagraph"/>
      </w:pPr>
      <w:r>
        <w:t xml:space="preserve">This Sales Report confirms that our deep integration into the Malaysia Kuala Lumpur business ecosystem is our greatest competitive advantage. As a dedicated Business Consultant firm serving KL's dynamic corporate landscape, we've transformed from a service provider to an essential growth partner for enterprises navigating Southeast Asia's most vibrant economy. The 18.7% revenue surge in Q3 isn't merely a numbers achievement—it reflects the trust placed in us by Kuala Lumpur-based leaders who recognize that success in Malaysia requires local expertise, not just global theory.</w:t>
      </w:r>
    </w:p>
    <w:p>
      <w:pPr>
        <w:pStyle w:val="BodyText"/>
      </w:pPr>
      <w:r>
        <w:t xml:space="preserve">Looking ahead, we will intensify our commitment to Malaysia Kuala Lumpur through enhanced cultural fluency programs and sector-specific solutions. Our data proves that when Business Consultant services are tailored for the Malaysian context—with particular focus on Kuala Lumpur's unique market mechanics—clients achieve measurable growth while navigating regulatory complexity. This Sales Report stands as testament to our mission: Delivering transformation, not just advice, in the heart of Malaysia's commercial capital.</w:t>
      </w:r>
    </w:p>
    <w:p>
      <w:pPr>
        <w:pStyle w:val="BodyText"/>
      </w:pPr>
      <w:r>
        <w:rPr>
          <w:iCs/>
          <w:i/>
        </w:rPr>
        <w:t xml:space="preserve">Prepared by: [Your Firm Name] Business Development Team</w:t>
      </w:r>
      <w:r>
        <w:br/>
      </w:r>
      <w:r>
        <w:rPr>
          <w:iCs/>
          <w:i/>
        </w:rPr>
        <w:t xml:space="preserve">Date: October 26, 2023 | For Internal Use | Malaysia Kuala Lumpur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Business Consultant Services in Malaysia Kuala Lumpur</dc:title>
  <dc:creator/>
  <dc:language>en</dc:language>
  <cp:keywords/>
  <dcterms:created xsi:type="dcterms:W3CDTF">2026-07-24T11:55:13Z</dcterms:created>
  <dcterms:modified xsi:type="dcterms:W3CDTF">2026-07-24T11:55:13Z</dcterms:modified>
</cp:coreProperties>
</file>

<file path=docProps/custom.xml><?xml version="1.0" encoding="utf-8"?>
<Properties xmlns="http://schemas.openxmlformats.org/officeDocument/2006/custom-properties" xmlns:vt="http://schemas.openxmlformats.org/officeDocument/2006/docPropsVTypes"/>
</file>