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1" w:name="Xdf67b3087621952f7d50edbf6af2ac9b684488c"/>
    <w:p>
      <w:pPr>
        <w:pStyle w:val="Heading1"/>
      </w:pPr>
      <w:r>
        <w:t xml:space="preserve">Sales Report: Strategic Business Consulting Performance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Business Consulting Group – Morocco Division</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across Morocco Casablanca during Q3 2023. As the leading strategic advisory firm operating in North Africa's commercial epicenter, we achieved a remarkable 18% year-over-year growth in revenue, securing 15 new enterprise clients and expanding our market share by 7.5% within Casablanca's competitive consulting landscape. Our focus on sector-specific solutions for Moroccan businesses has solidified our position as the preferred Business Consultant for transformative growth initiatives in Morocco Casablanca.</w:t>
      </w:r>
    </w:p>
    <w:bookmarkEnd w:id="20"/>
    <w:bookmarkStart w:id="21" w:name="Xef3115bda1d8cab1ffc2747224a54b2eebbefc7"/>
    <w:p>
      <w:pPr>
        <w:pStyle w:val="Heading2"/>
      </w:pPr>
      <w:r>
        <w:t xml:space="preserve">II. Market Context: Business Consulting Landscape in Morocco Casablanca</w:t>
      </w:r>
    </w:p>
    <w:p>
      <w:pPr>
        <w:pStyle w:val="FirstParagraph"/>
      </w:pPr>
      <w:r>
        <w:t xml:space="preserve">Casablanca, as Morocco's economic capital housing 40% of the nation's GDP and 35 Fortune 500 African offices, presents a dynamic yet complex environment for business consulting services. The city's strategic location between Europe and Africa drives demand for specialized Business Consultant expertise in digital transformation (22% growth YoY), sustainable supply chain optimization (18%), and international market entry strategies (31%). Our Sales Report confirms that Moroccan enterprises increasingly prioritize data-driven decision-making, with 74% of Casablanca-based corporations now seeking dedicated Business Consultant engagement versus 58% in 2021.</w:t>
      </w:r>
    </w:p>
    <w:bookmarkEnd w:id="21"/>
    <w:bookmarkStart w:id="22" w:name="iii.-sales-performance-highlights"/>
    <w:p>
      <w:pPr>
        <w:pStyle w:val="Heading2"/>
      </w:pPr>
      <w:r>
        <w:t xml:space="preserve">III.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(MAD)</w:t>
      </w:r>
    </w:p>
    <w:p>
      <w:pPr>
        <w:pStyle w:val="BodyText"/>
      </w:pPr>
      <w:r>
        <w:t xml:space="preserve">18.7M</w:t>
      </w:r>
    </w:p>
    <w:p>
      <w:pPr>
        <w:pStyle w:val="BodyText"/>
      </w:pPr>
      <w:r>
        <w:t xml:space="preserve">15.9M</w:t>
      </w:r>
    </w:p>
    <w:p>
      <w:pPr>
        <w:pStyle w:val="BodyText"/>
      </w:pPr>
      <w:r>
        <w:t xml:space="preserve">+17.6%</w:t>
      </w:r>
    </w:p>
    <w:p>
      <w:pPr>
        <w:pStyle w:val="BodyText"/>
      </w:pPr>
      <w:r>
        <w:t xml:space="preserve">New Client Acquisition</w:t>
      </w:r>
    </w:p>
    <w:p>
      <w:pPr>
        <w:pStyle w:val="BodyText"/>
      </w:pPr>
      <w:r>
        <w:t xml:space="preserve">15</w:t>
      </w:r>
    </w:p>
    <w:p>
      <w:pPr>
        <w:pStyle w:val="BodyText"/>
      </w:pPr>
      <w:r>
        <w:t xml:space="preserve">&lt;</w:t>
      </w:r>
    </w:p>
    <w:p>
      <w:pPr>
        <w:pStyle w:val="BodyText"/>
      </w:pPr>
      <w:r>
        <w:t xml:space="preserve">9</w:t>
      </w:r>
    </w:p>
    <w:p>
      <w:pPr>
        <w:pStyle w:val="BodyText"/>
      </w:pPr>
      <w:r>
        <w:t xml:space="preserve">Client Retention Rate: 89% (Industry Avg: 72%)</w:t>
      </w:r>
    </w:p>
    <w:p>
      <w:pPr>
        <w:pStyle w:val="BodyText"/>
      </w:pPr>
      <w:r>
        <w:t xml:space="preserve">Notable achievements include securing contracts with major Moroccan entities such as Attijariwafa Bank (digital banking transformation), Maroc Telecom (5G ecosystem strategy), and Souss Massa Regional Investment Fund (SME development program). The Casablanca financial district witnessed a 40% surge in consulting inquiries, directly correlating with our localized Sales Report findings that 83% of enterprises prioritize consultants fluent in Moroccan business culture and French/Arabic bilingual capabilities.</w:t>
      </w:r>
    </w:p>
    <w:bookmarkEnd w:id="22"/>
    <w:bookmarkStart w:id="26" w:name="iv.-sector-specific-performance-analysis"/>
    <w:p>
      <w:pPr>
        <w:pStyle w:val="Heading2"/>
      </w:pPr>
      <w:r>
        <w:t xml:space="preserve">IV. Sector-Specific Performance Analysis</w:t>
      </w:r>
    </w:p>
    <w:bookmarkStart w:id="23" w:name="X9f804c959a93bdbc88a9a309c68a9c30beb3a25"/>
    <w:p>
      <w:pPr>
        <w:pStyle w:val="Heading3"/>
      </w:pPr>
      <w:r>
        <w:t xml:space="preserve">A. Banking &amp; Financial Services (42% of Revenue)</w:t>
      </w:r>
    </w:p>
    <w:p>
      <w:pPr>
        <w:pStyle w:val="FirstParagraph"/>
      </w:pPr>
      <w:r>
        <w:t xml:space="preserve">Our Business Consultant team delivered a 19% revenue uplift through specialized solutions addressing Morocco's new Basel III implementation and Islamic finance expansion. The Attijariwafa Bank project—optimizing loan disbursement processes—generated MAD 5.2M in direct value within six months, validating our sector-focused approach in Morocco Casablanca.</w:t>
      </w:r>
    </w:p>
    <w:bookmarkEnd w:id="23"/>
    <w:bookmarkStart w:id="24" w:name="b.-manufacturing-logistics-28-of-revenue"/>
    <w:p>
      <w:pPr>
        <w:pStyle w:val="Heading3"/>
      </w:pPr>
      <w:r>
        <w:t xml:space="preserve">B. Manufacturing &amp; Logistics (28% of Revenue)</w:t>
      </w:r>
    </w:p>
    <w:p>
      <w:pPr>
        <w:pStyle w:val="FirstParagraph"/>
      </w:pPr>
      <w:r>
        <w:t xml:space="preserve">With Casablanca as Africa's top industrial hub (17% of Moroccan manufacturing), we captured market share by addressing supply chain vulnerabilities exposed during global disruptions. Our Business Consultant framework for localizing suppliers reduced costs by 24% for a major automotive parts manufacturer, resulting in a MAD 3.8M contract renewal and referral to two additional clients.</w:t>
      </w:r>
    </w:p>
    <w:bookmarkEnd w:id="24"/>
    <w:bookmarkStart w:id="25" w:name="c.-digital-transformation-19-of-revenue"/>
    <w:p>
      <w:pPr>
        <w:pStyle w:val="Heading3"/>
      </w:pPr>
      <w:r>
        <w:t xml:space="preserve">C. Digital Transformation (19% of Revenue)</w:t>
      </w:r>
    </w:p>
    <w:p>
      <w:pPr>
        <w:pStyle w:val="FirstParagraph"/>
      </w:pPr>
      <w:r>
        <w:t xml:space="preserve">Responding to Morocco's National Digitization Strategy, our team executed AI-driven customer analytics projects for leading retail chains in Casablanca, increasing digital sales conversion rates by 37%. The successful Maroc Telecom project—creating a predictive maintenance platform—demonstrated how our Business Consultant methodology directly drives ROI in Morocco's tech-forward market.</w:t>
      </w:r>
    </w:p>
    <w:bookmarkEnd w:id="25"/>
    <w:bookmarkEnd w:id="26"/>
    <w:bookmarkStart w:id="27" w:name="X439f188f4397115f420795e4c7c497ef627ce9d"/>
    <w:p>
      <w:pPr>
        <w:pStyle w:val="Heading2"/>
      </w:pPr>
      <w:r>
        <w:t xml:space="preserve">V. Competitive Differentiation in Morocco Casablanca</w:t>
      </w:r>
    </w:p>
    <w:p>
      <w:pPr>
        <w:pStyle w:val="FirstParagraph"/>
      </w:pPr>
      <w:r>
        <w:t xml:space="preserve">Our Sales Report identifies three critical advantages over regional competitors:</w:t>
      </w:r>
    </w:p>
    <w:p>
      <w:pPr>
        <w:numPr>
          <w:ilvl w:val="0"/>
          <w:numId w:val="1001"/>
        </w:numPr>
        <w:pStyle w:val="Compact"/>
      </w:pPr>
      <w:r>
        <w:rPr>
          <w:bCs/>
          <w:b/>
        </w:rPr>
        <w:t xml:space="preserve">Cultural Intelligence:</w:t>
      </w:r>
      <w:r>
        <w:t xml:space="preserve"> </w:t>
      </w:r>
      <w:r>
        <w:t xml:space="preserve">All Business Consultant engagements include local Moroccan team members who navigate bureaucratic nuances (e.g., AMI certifications, labor laws) and facilitate executive-level trust-building in Casablanca's relationship-driven business environment.</w:t>
      </w:r>
    </w:p>
    <w:p>
      <w:pPr>
        <w:numPr>
          <w:ilvl w:val="0"/>
          <w:numId w:val="1001"/>
        </w:numPr>
        <w:pStyle w:val="Compact"/>
      </w:pPr>
      <w:r>
        <w:rPr>
          <w:bCs/>
          <w:b/>
        </w:rPr>
        <w:t xml:space="preserve">Hyper-Localized Solutions:</w:t>
      </w:r>
      <w:r>
        <w:t xml:space="preserve"> </w:t>
      </w:r>
      <w:r>
        <w:t xml:space="preserve">Unlike generic international firms, we developed the "Morocco Growth Pathway" framework integrating Islamic finance principles, local tax incentives (e.g., Tax Law 103/20), and Casablanca's specific port logistics advantages.</w:t>
      </w:r>
    </w:p>
    <w:p>
      <w:pPr>
        <w:numPr>
          <w:ilvl w:val="0"/>
          <w:numId w:val="1001"/>
        </w:numPr>
        <w:pStyle w:val="Compact"/>
      </w:pPr>
      <w:r>
        <w:rPr>
          <w:bCs/>
          <w:b/>
        </w:rPr>
        <w:t xml:space="preserve">Sustainable Impact Focus:</w:t>
      </w:r>
      <w:r>
        <w:t xml:space="preserve"> </w:t>
      </w:r>
      <w:r>
        <w:t xml:space="preserve">78% of new clients selected us for ESG-aligned projects—a priority for Morocco's Vision 2030, with our Business Consultant delivering carbon footprint reduction plans that also boosted operational efficiency by average of 19%.</w:t>
      </w:r>
    </w:p>
    <w:bookmarkEnd w:id="27"/>
    <w:bookmarkStart w:id="28" w:name="vi.-challenges-strategic-responses"/>
    <w:p>
      <w:pPr>
        <w:pStyle w:val="Heading2"/>
      </w:pPr>
      <w:r>
        <w:t xml:space="preserve">VI. Challenges &amp; Strategic Responses</w:t>
      </w:r>
    </w:p>
    <w:p>
      <w:pPr>
        <w:pStyle w:val="FirstParagraph"/>
      </w:pPr>
      <w:r>
        <w:t xml:space="preserve">Our Casablanca operations faced three significant challenges in Q3:</w:t>
      </w:r>
    </w:p>
    <w:p>
      <w:pPr>
        <w:numPr>
          <w:ilvl w:val="0"/>
          <w:numId w:val="1002"/>
        </w:numPr>
        <w:pStyle w:val="Compact"/>
      </w:pPr>
      <w:r>
        <w:rPr>
          <w:iCs/>
          <w:i/>
        </w:rPr>
        <w:t xml:space="preserve">Client Budget Constraints:</w:t>
      </w:r>
      <w:r>
        <w:t xml:space="preserve"> </w:t>
      </w:r>
      <w:r>
        <w:t xml:space="preserve">Due to Morocco's inflation (6.8%), 31% of prospects delayed projects. Our response was launching tiered "Impact-First" consulting packages with phased payments, increasing conversion rates by 22%.</w:t>
      </w:r>
    </w:p>
    <w:p>
      <w:pPr>
        <w:numPr>
          <w:ilvl w:val="0"/>
          <w:numId w:val="1002"/>
        </w:numPr>
        <w:pStyle w:val="Compact"/>
      </w:pPr>
      <w:r>
        <w:rPr>
          <w:iCs/>
          <w:i/>
        </w:rPr>
        <w:t xml:space="preserve">Talent Retention:</w:t>
      </w:r>
      <w:r>
        <w:t xml:space="preserve"> </w:t>
      </w:r>
      <w:r>
        <w:t xml:space="preserve">Competitive local salaries threatened our consultant team. We introduced a "Moroccan Consultant Leadership Program" with profit-sharing for high-performers, reducing attrition to 5% (vs. industry 18%).</w:t>
      </w:r>
    </w:p>
    <w:p>
      <w:pPr>
        <w:numPr>
          <w:ilvl w:val="0"/>
          <w:numId w:val="1002"/>
        </w:numPr>
        <w:pStyle w:val="Compact"/>
      </w:pPr>
      <w:r>
        <w:rPr>
          <w:iCs/>
          <w:i/>
        </w:rPr>
        <w:t xml:space="preserve">Regulatory Complexity:</w:t>
      </w:r>
      <w:r>
        <w:t xml:space="preserve"> </w:t>
      </w:r>
      <w:r>
        <w:t xml:space="preserve">New data privacy laws (Law 09-18) created compliance hurdles. Our Business Consultant team developed a proprietary "Morocco Regulatory Navigator" tool used in all client engagements, accelerating project start times by 35%.</w:t>
      </w:r>
    </w:p>
    <w:bookmarkEnd w:id="28"/>
    <w:bookmarkStart w:id="29" w:name="X222fbda9f1c66e694ba5be46f064ba9dd0d1890"/>
    <w:p>
      <w:pPr>
        <w:pStyle w:val="Heading2"/>
      </w:pPr>
      <w:r>
        <w:t xml:space="preserve">VII. Future Outlook: Growth Strategy for Morocco Casablanca</w:t>
      </w:r>
    </w:p>
    <w:p>
      <w:pPr>
        <w:pStyle w:val="FirstParagraph"/>
      </w:pPr>
      <w:r>
        <w:t xml:space="preserve">Based on Q3 momentum, our Sales Report projects a 24% revenue increase for FY2024 with specific initiatives:</w:t>
      </w:r>
    </w:p>
    <w:p>
      <w:pPr>
        <w:numPr>
          <w:ilvl w:val="0"/>
          <w:numId w:val="1003"/>
        </w:numPr>
        <w:pStyle w:val="Compact"/>
      </w:pPr>
      <w:r>
        <w:rPr>
          <w:bCs/>
          <w:b/>
        </w:rPr>
        <w:t xml:space="preserve">Expand Casablanca Hub:</w:t>
      </w:r>
      <w:r>
        <w:t xml:space="preserve"> </w:t>
      </w:r>
      <w:r>
        <w:t xml:space="preserve">Open dedicated office in the newly developed Aïn Bni Mathar business district to serve emerging tech startups.</w:t>
      </w:r>
    </w:p>
    <w:p>
      <w:pPr>
        <w:numPr>
          <w:ilvl w:val="0"/>
          <w:numId w:val="1003"/>
        </w:numPr>
        <w:pStyle w:val="Compact"/>
      </w:pPr>
      <w:r>
        <w:rPr>
          <w:bCs/>
          <w:b/>
        </w:rPr>
        <w:t xml:space="preserve">Launch Morocco-Specific Certifications:</w:t>
      </w:r>
      <w:r>
        <w:t xml:space="preserve"> </w:t>
      </w:r>
      <w:r>
        <w:t xml:space="preserve">Partner with École Supérieure de Commerce de Casablanca to create "Business Consultant (Morocco)" accreditation for local talent.</w:t>
      </w:r>
    </w:p>
    <w:p>
      <w:pPr>
        <w:numPr>
          <w:ilvl w:val="0"/>
          <w:numId w:val="1003"/>
        </w:numPr>
        <w:pStyle w:val="Compact"/>
      </w:pPr>
      <w:r>
        <w:rPr>
          <w:bCs/>
          <w:b/>
        </w:rPr>
        <w:t xml:space="preserve">Target Key Sectors:</w:t>
      </w:r>
      <w:r>
        <w:t xml:space="preserve"> </w:t>
      </w:r>
      <w:r>
        <w:t xml:space="preserve">Prioritize healthcare (post-pandemic reforms) and renewable energy (Morocco's solar ambitions) with tailored solutions.</w:t>
      </w:r>
    </w:p>
    <w:bookmarkEnd w:id="29"/>
    <w:bookmarkStart w:id="30" w:name="viii.-conclusion"/>
    <w:p>
      <w:pPr>
        <w:pStyle w:val="Heading2"/>
      </w:pPr>
      <w:r>
        <w:t xml:space="preserve">VIII. Conclusion</w:t>
      </w:r>
    </w:p>
    <w:p>
      <w:pPr>
        <w:pStyle w:val="FirstParagraph"/>
      </w:pPr>
      <w:r>
        <w:t xml:space="preserve">This Sales Report unequivocally demonstrates that our Business Consultant services have become indispensable to Morocco Casablanca's corporate ecosystem. The 18% YoY growth isn't merely a financial metric—it reflects our deep integration into the city's economic fabric through culturally intelligent, results-driven consulting. As Morocco positions itself as Africa's leading investment destination, we are uniquely positioned to leverage our Casablanca base to deliver transformative value for multinational and local enterprises alike. Our commitment to excellence in Business Consultant delivery ensures that every project directly contributes to Morocco Casablanca's sustainable economic advancement—proving that strategic advisory is no longer optional, but the cornerstone of competitive success.</w:t>
      </w:r>
    </w:p>
    <w:p>
      <w:pPr>
        <w:pStyle w:val="BodyText"/>
      </w:pPr>
      <w:r>
        <w:rPr>
          <w:iCs/>
          <w:i/>
        </w:rPr>
        <w:t xml:space="preserve">Global Business Consulting Group: Building Tomorrow's Moroccan Economy Today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Morocco Casablanca</dc:title>
  <dc:creator/>
  <dc:language>en</dc:language>
  <cp:keywords/>
  <dcterms:created xsi:type="dcterms:W3CDTF">2026-07-24T05:18:11Z</dcterms:created>
  <dcterms:modified xsi:type="dcterms:W3CDTF">2026-07-24T05:18:11Z</dcterms:modified>
</cp:coreProperties>
</file>

<file path=docProps/custom.xml><?xml version="1.0" encoding="utf-8"?>
<Properties xmlns="http://schemas.openxmlformats.org/officeDocument/2006/custom-properties" xmlns:vt="http://schemas.openxmlformats.org/officeDocument/2006/docPropsVTypes"/>
</file>