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Netherlands</w:t>
      </w:r>
      <w:r>
        <w:t xml:space="preserve"> </w:t>
      </w:r>
      <w:r>
        <w:t xml:space="preserve">Amsterdam</w:t>
      </w:r>
    </w:p>
    <w:bookmarkStart w:id="29" w:name="Xa0f2bf3740d282ff4e615dc2281de9539b553a7"/>
    <w:p>
      <w:pPr>
        <w:pStyle w:val="Heading1"/>
      </w:pPr>
      <w:r>
        <w:t xml:space="preserve">Annual Sales Report: Strategic Business Consulting Excellence in Netherlands Amsterdam</w:t>
      </w:r>
    </w:p>
    <w:bookmarkStart w:id="20" w:name="executive-summary"/>
    <w:p>
      <w:pPr>
        <w:pStyle w:val="Heading2"/>
      </w:pPr>
      <w:r>
        <w:t xml:space="preserve">Executive Summary</w:t>
      </w:r>
    </w:p>
    <w:p>
      <w:pPr>
        <w:pStyle w:val="FirstParagraph"/>
      </w:pPr>
      <w:r>
        <w:t xml:space="preserve">This comprehensive Sales Report details the performance of our premier Business Consultant services across the dynamic business landscape of Netherlands Amsterdam during Q1-Q4 2023. As a leading strategic advisory firm operating from Amsterdam's innovation hub, we've delivered exceptional value through data-driven solutions tailored to Dutch market complexities. Our revenue growth of 34% year-over-year underscores the critical demand for specialized Business Consultant expertise in this global commerce capital. This report validates our strategic positioning within Netherlands Amsterdam's thriving business ecosystem and outlines actionable insights for sustained market leadership.</w:t>
      </w:r>
    </w:p>
    <w:bookmarkEnd w:id="20"/>
    <w:bookmarkStart w:id="21" w:name="Xb97235f8366953b2f8020063fbc3d6a97c3d6d2"/>
    <w:p>
      <w:pPr>
        <w:pStyle w:val="Heading2"/>
      </w:pPr>
      <w:r>
        <w:t xml:space="preserve">Market Context: Netherlands Amsterdam as a Strategic Business Nexus</w:t>
      </w:r>
    </w:p>
    <w:p>
      <w:pPr>
        <w:pStyle w:val="FirstParagraph"/>
      </w:pPr>
      <w:r>
        <w:t xml:space="preserve">Amsterdam serves as the economic engine of the Netherlands, hosting 65% of Fortune 500 companies' European headquarters and generating 18% of national GDP. The city's unique blend of international business culture, sustainable innovation policies (like the Dutch Climate Agreement), and EU regulatory environment creates both opportunities and complexities for enterprises. Our Business Consultant team has developed deep local expertise in navigating these nuances, particularly in sectors critical to Netherlands Amsterdam: sustainable logistics (Amsterdam Port), tech startups (Scale Up City initiative), and circular economy transitions.</w:t>
      </w:r>
    </w:p>
    <w:p>
      <w:pPr>
        <w:pStyle w:val="BodyText"/>
      </w:pPr>
      <w:r>
        <w:t xml:space="preserve">Competitive analysis reveals that 78% of Dutch enterprises now prioritize strategic advisory services over traditional consulting due to market volatility. This shift has positioned our Business Consultant practice for significant growth within Netherlands Amsterdam's $21.4B professional services market – a 12% annual increase reflecting heightened strategic maturity among local firms.</w:t>
      </w:r>
    </w:p>
    <w:bookmarkEnd w:id="21"/>
    <w:bookmarkStart w:id="22" w:name="Xa0d7d623675d81ab7606e7def08870dc8d09d5a"/>
    <w:p>
      <w:pPr>
        <w:pStyle w:val="Heading2"/>
      </w:pPr>
      <w:r>
        <w:t xml:space="preserve">Q4 2023 Sales Performance: Quantifiable Excellence</w:t>
      </w:r>
    </w:p>
    <w:p>
      <w:pPr>
        <w:pStyle w:val="FirstParagraph"/>
      </w:pPr>
      <w:r>
        <w:t xml:space="preserve">Service Line</w:t>
      </w:r>
    </w:p>
    <w:p>
      <w:pPr>
        <w:pStyle w:val="BodyText"/>
      </w:pPr>
      <w:r>
        <w:t xml:space="preserve">Q3 2023 Revenue (€)</w:t>
      </w:r>
    </w:p>
    <w:p>
      <w:pPr>
        <w:pStyle w:val="BodyText"/>
      </w:pPr>
      <w:r>
        <w:t xml:space="preserve">Q4 2023 Revenue (€)</w:t>
      </w:r>
    </w:p>
    <w:p>
      <w:pPr>
        <w:pStyle w:val="BodyText"/>
      </w:pPr>
      <w:r>
        <w:t xml:space="preserve">% Growth</w:t>
      </w:r>
    </w:p>
    <w:p>
      <w:pPr>
        <w:pStyle w:val="BodyText"/>
      </w:pPr>
      <w:r>
        <w:t xml:space="preserve">Sustainable Business Transformation</w:t>
      </w:r>
    </w:p>
    <w:p>
      <w:pPr>
        <w:pStyle w:val="BodyText"/>
      </w:pPr>
      <w:r>
        <w:t xml:space="preserve">185,000</w:t>
      </w:r>
    </w:p>
    <w:p>
      <w:pPr>
        <w:pStyle w:val="BodyText"/>
      </w:pPr>
      <w:r>
        <w:t xml:space="preserve">248,500</w:t>
      </w:r>
    </w:p>
    <w:p>
      <w:pPr>
        <w:pStyle w:val="BodyText"/>
      </w:pPr>
      <w:r>
        <w:t xml:space="preserve">34.3%</w:t>
      </w:r>
    </w:p>
    <w:p>
      <w:pPr>
        <w:pStyle w:val="BodyText"/>
      </w:pPr>
      <w:r>
        <w:t xml:space="preserve">Digital Strategy Implementation</w:t>
      </w:r>
    </w:p>
    <w:p>
      <w:pPr>
        <w:pStyle w:val="BodyText"/>
      </w:pPr>
      <w:r>
        <w:t xml:space="preserve">152,750</w:t>
      </w:r>
    </w:p>
    <w:p>
      <w:pPr>
        <w:pStyle w:val="BodyText"/>
      </w:pPr>
      <w:r>
        <w:t xml:space="preserve">Total Revenue</w:t>
      </w:r>
    </w:p>
    <w:p>
      <w:pPr>
        <w:pStyle w:val="BodyText"/>
      </w:pPr>
      <w:r>
        <w:t xml:space="preserve">367,900</w:t>
      </w:r>
    </w:p>
    <w:p>
      <w:pPr>
        <w:pStyle w:val="BodyText"/>
      </w:pPr>
      <w:r>
        <w:t xml:space="preserve">489,800</w:t>
      </w:r>
    </w:p>
    <w:p>
      <w:pPr>
        <w:pStyle w:val="BodyText"/>
      </w:pPr>
      <w:r>
        <w:t xml:space="preserve">33.1%</w:t>
      </w:r>
    </w:p>
    <w:p>
      <w:pPr>
        <w:pStyle w:val="BodyText"/>
      </w:pPr>
      <w:r>
        <w:t xml:space="preserve">The 34% growth in Sustainable Business Transformation services directly correlates with Amsterdam's "Green Deal" policy requiring all large enterprises to publish climate action plans by 2025. Our Business Consultant team successfully secured contracts with three major Amsterdam-based logistics firms (including a €1.2M engagement for Port of Amsterdam’s decarbonization roadmap), demonstrating our market relevance.</w:t>
      </w:r>
    </w:p>
    <w:bookmarkEnd w:id="22"/>
    <w:bookmarkStart w:id="25" w:name="X9785df37d728c2d635d7e08093a82ac5b531ecd"/>
    <w:p>
      <w:pPr>
        <w:pStyle w:val="Heading2"/>
      </w:pPr>
      <w:r>
        <w:t xml:space="preserve">Client Success Stories: Netherlands Amsterdam Impact</w:t>
      </w:r>
    </w:p>
    <w:bookmarkStart w:id="23" w:name="X3659a4836d9d6ac3be59d9eb6b4a8fd552533f0"/>
    <w:p>
      <w:pPr>
        <w:pStyle w:val="Heading3"/>
      </w:pPr>
      <w:r>
        <w:t xml:space="preserve">Case Study 1: Royal FloraHolland Digital Transformation</w:t>
      </w:r>
    </w:p>
    <w:p>
      <w:pPr>
        <w:pStyle w:val="FirstParagraph"/>
      </w:pPr>
      <w:r>
        <w:t xml:space="preserve">As a leading horticulture exchange in Netherlands Amsterdam, Royal FloraHolland sought to optimize supply chain resilience. Our Business Consultant implemented an AI-driven inventory system reducing waste by 28% and accelerating delivery times by 40%. This solution directly supported Amsterdam's "AgriTech Innovation Hub" initiative and generated €375K in annual cost savings – exceeding client projections by 15%.</w:t>
      </w:r>
    </w:p>
    <w:bookmarkEnd w:id="23"/>
    <w:bookmarkStart w:id="24" w:name="X46f48176d33be5400bec89e693917a47f910bd3"/>
    <w:p>
      <w:pPr>
        <w:pStyle w:val="Heading3"/>
      </w:pPr>
      <w:r>
        <w:t xml:space="preserve">Case Study 2: Amsterdam Tech Startup Scaling Strategy</w:t>
      </w:r>
    </w:p>
    <w:p>
      <w:pPr>
        <w:pStyle w:val="FirstParagraph"/>
      </w:pPr>
      <w:r>
        <w:t xml:space="preserve">A Series B fintech startup headquartered in De Pijp (Amsterdam) engaged our Business Consultant to navigate EU regulatory complexity during expansion. We designed a compliance framework aligned with the Digital Markets Act, enabling their entry into 7 new Dutch markets within 6 months. The engagement yielded €1.8M in new revenue streams and positioned them for acquisition by a major European bank.</w:t>
      </w:r>
    </w:p>
    <w:bookmarkEnd w:id="24"/>
    <w:bookmarkEnd w:id="25"/>
    <w:bookmarkStart w:id="26" w:name="X3925c5efc2efd8fbd5f491636a03485b5e749f8"/>
    <w:p>
      <w:pPr>
        <w:pStyle w:val="Heading2"/>
      </w:pPr>
      <w:r>
        <w:t xml:space="preserve">Market Challenges &amp; Strategic Solutions Implemented</w:t>
      </w:r>
    </w:p>
    <w:p>
      <w:pPr>
        <w:pStyle w:val="FirstParagraph"/>
      </w:pPr>
      <w:r>
        <w:t xml:space="preserve">Operating as Business Consultant in Netherlands Amsterdam presents unique challenges: linguistic nuances (Dutch vs English business communication), strict GDPR compliance requirements, and cultural preferences for consensus-driven decision-making. Our Sales Report identifies three critical challenges with our responsive solutions:</w:t>
      </w:r>
    </w:p>
    <w:p>
      <w:pPr>
        <w:numPr>
          <w:ilvl w:val="0"/>
          <w:numId w:val="1001"/>
        </w:numPr>
        <w:pStyle w:val="Compact"/>
      </w:pPr>
      <w:r>
        <w:rPr>
          <w:bCs/>
          <w:b/>
        </w:rPr>
        <w:t xml:space="preserve">Client Acquisition Cost</w:t>
      </w:r>
      <w:r>
        <w:t xml:space="preserve">: Traditional cold outreach yielded 52% lower conversion in Netherlands Amsterdam versus other EU markets.</w:t>
      </w:r>
      <w:r>
        <w:t xml:space="preserve"> </w:t>
      </w:r>
      <w:r>
        <w:rPr>
          <w:iCs/>
          <w:i/>
        </w:rPr>
        <w:t xml:space="preserve">Solution:</w:t>
      </w:r>
      <w:r>
        <w:t xml:space="preserve"> </w:t>
      </w:r>
      <w:r>
        <w:t xml:space="preserve">We implemented localized LinkedIn campaigns targeting Amsterdam-specific business associations (e.g., Amcham, CBI) and sponsored events at De Zwaan Innovation Center, reducing acquisition costs by 37%.</w:t>
      </w:r>
    </w:p>
    <w:p>
      <w:pPr>
        <w:numPr>
          <w:ilvl w:val="0"/>
          <w:numId w:val="1001"/>
        </w:numPr>
        <w:pStyle w:val="Compact"/>
      </w:pPr>
      <w:r>
        <w:rPr>
          <w:bCs/>
          <w:b/>
        </w:rPr>
        <w:t xml:space="preserve">Regulatory Adaptation</w:t>
      </w:r>
      <w:r>
        <w:t xml:space="preserve">: Dutch employment law changes required rapid service adjustments.</w:t>
      </w:r>
      <w:r>
        <w:t xml:space="preserve"> </w:t>
      </w:r>
      <w:r>
        <w:rPr>
          <w:iCs/>
          <w:i/>
        </w:rPr>
        <w:t xml:space="preserve">Solution:</w:t>
      </w:r>
      <w:r>
        <w:t xml:space="preserve"> </w:t>
      </w:r>
      <w:r>
        <w:t xml:space="preserve">Our Business Consultant team developed an "Amsterdam Regulatory Dashboard" tracking 200+ monthly legislative updates, ensuring all client solutions remain compliant without operational disruption.</w:t>
      </w:r>
    </w:p>
    <w:p>
      <w:pPr>
        <w:numPr>
          <w:ilvl w:val="0"/>
          <w:numId w:val="1001"/>
        </w:numPr>
        <w:pStyle w:val="Compact"/>
      </w:pPr>
      <w:r>
        <w:rPr>
          <w:bCs/>
          <w:b/>
        </w:rPr>
        <w:t xml:space="preserve">Cultural Alignment</w:t>
      </w:r>
      <w:r>
        <w:t xml:space="preserve">: Dutch clients value data transparency over aggressive sales tactics.</w:t>
      </w:r>
      <w:r>
        <w:t xml:space="preserve"> </w:t>
      </w:r>
      <w:r>
        <w:rPr>
          <w:iCs/>
          <w:i/>
        </w:rPr>
        <w:t xml:space="preserve">Solution:</w:t>
      </w:r>
      <w:r>
        <w:t xml:space="preserve"> </w:t>
      </w:r>
      <w:r>
        <w:t xml:space="preserve">We trained consultants in the "Dutch Consensus Framework," emphasizing collaborative problem-solving – increasing client retention by 29% among Netherlands Amsterdam accounts.</w:t>
      </w:r>
    </w:p>
    <w:bookmarkEnd w:id="26"/>
    <w:bookmarkStart w:id="27" w:name="Xc73fd30de1a43be153a3c9b54c61305a233bd17"/>
    <w:p>
      <w:pPr>
        <w:pStyle w:val="Heading2"/>
      </w:pPr>
      <w:r>
        <w:t xml:space="preserve">Future Outlook: Strategic Recommendations for Netherlands Amsterdam</w:t>
      </w:r>
    </w:p>
    <w:p>
      <w:pPr>
        <w:pStyle w:val="FirstParagraph"/>
      </w:pPr>
      <w:r>
        <w:t xml:space="preserve">Based on our Sales Report analysis, we project 40%+ growth in Business Consultant services in Netherlands Amsterdam through 2024. Key strategic imperatives include:</w:t>
      </w:r>
    </w:p>
    <w:p>
      <w:pPr>
        <w:numPr>
          <w:ilvl w:val="0"/>
          <w:numId w:val="1002"/>
        </w:numPr>
        <w:pStyle w:val="Compact"/>
      </w:pPr>
      <w:r>
        <w:rPr>
          <w:bCs/>
          <w:b/>
        </w:rPr>
        <w:t xml:space="preserve">Expand Circular Economy Offerings</w:t>
      </w:r>
      <w:r>
        <w:t xml:space="preserve">: Partner with Amsterdam's Circulaire Economie Accelerator to develop specialized consulting modules for waste-to-value transitions, targeting the city’s €1.3B circular economy fund.</w:t>
      </w:r>
    </w:p>
    <w:p>
      <w:pPr>
        <w:numPr>
          <w:ilvl w:val="0"/>
          <w:numId w:val="1002"/>
        </w:numPr>
        <w:pStyle w:val="Compact"/>
      </w:pPr>
      <w:r>
        <w:rPr>
          <w:bCs/>
          <w:b/>
        </w:rPr>
        <w:t xml:space="preserve">Deepen Local Talent Integration</w:t>
      </w:r>
      <w:r>
        <w:t xml:space="preserve">: Recruit 5 additional Dutch-speaking Business Consultant specialists by Q2 2024, focusing on Amsterdam-based graduates from VU University and Amsterdam University of Applied Sciences.</w:t>
      </w:r>
    </w:p>
    <w:p>
      <w:pPr>
        <w:numPr>
          <w:ilvl w:val="0"/>
          <w:numId w:val="1002"/>
        </w:numPr>
        <w:pStyle w:val="Compact"/>
      </w:pPr>
      <w:r>
        <w:rPr>
          <w:bCs/>
          <w:b/>
        </w:rPr>
        <w:t xml:space="preserve">Leverage Public-Private Networks</w:t>
      </w:r>
      <w:r>
        <w:t xml:space="preserve">: Secure contracts with City of Amsterdam's Economic Development Agency to deliver "Startup Acceleration Programs" for emerging businesses in Zuidas business district.</w:t>
      </w:r>
    </w:p>
    <w:bookmarkEnd w:id="27"/>
    <w:bookmarkStart w:id="28" w:name="Xa31030bd9e1b4518d412c69bc9bf2b26825769e"/>
    <w:p>
      <w:pPr>
        <w:pStyle w:val="Heading2"/>
      </w:pPr>
      <w:r>
        <w:t xml:space="preserve">Conclusion: The Strategic Imperative in Netherlands Amsterdam</w:t>
      </w:r>
    </w:p>
    <w:p>
      <w:pPr>
        <w:pStyle w:val="FirstParagraph"/>
      </w:pPr>
      <w:r>
        <w:t xml:space="preserve">This Sales Report conclusively demonstrates that our Business Consultant practice has become indispensable to enterprise success within Netherlands Amsterdam's competitive marketplace. Our 34% revenue growth, coupled with industry-leading client retention (89%), validates our specialized approach to this unique market. As the Netherlands accelerates its sustainable transition and Amsterdam cements its position as Europe’s most innovative business destination, demand for hyper-localized strategic advisory services will only intensify.</w:t>
      </w:r>
    </w:p>
    <w:p>
      <w:pPr>
        <w:pStyle w:val="BodyText"/>
      </w:pPr>
      <w:r>
        <w:t xml:space="preserve">Our commitment to embedding Dutch business culture into every engagement – from understanding the importance of "gezelligheid" (cozy collaboration) in meetings to mastering the intricacies of Dutch tax incentives – differentiates us as the preferred Business Consultant for enterprises operating at Amsterdam's commercial epicenter. We stand ready to deliver next-level strategic value that directly supports Netherlands Amsterdam’s vision as a global leader in sustainable, data-driven commerce.</w:t>
      </w:r>
    </w:p>
    <w:p>
      <w:pPr>
        <w:pStyle w:val="BodyText"/>
      </w:pPr>
      <w:r>
        <w:rPr>
          <w:bCs/>
          <w:b/>
        </w:rPr>
        <w:t xml:space="preserve">Prepared by:</w:t>
      </w:r>
      <w:r>
        <w:t xml:space="preserve"> </w:t>
      </w:r>
      <w:r>
        <w:t xml:space="preserve">Global Advisory Partners |</w:t>
      </w:r>
      <w:r>
        <w:t xml:space="preserve"> </w:t>
      </w:r>
      <w:r>
        <w:rPr>
          <w:bCs/>
          <w:b/>
        </w:rPr>
        <w:t xml:space="preserve">Date:</w:t>
      </w:r>
      <w:r>
        <w:t xml:space="preserve"> </w:t>
      </w:r>
      <w:r>
        <w:t xml:space="preserve">December 27, 2023 |</w:t>
      </w:r>
      <w:r>
        <w:t xml:space="preserve"> </w:t>
      </w:r>
      <w:r>
        <w:rPr>
          <w:bCs/>
          <w:b/>
        </w:rPr>
        <w:t xml:space="preserve">Location:</w:t>
      </w:r>
      <w:r>
        <w:t xml:space="preserve"> </w:t>
      </w:r>
      <w:r>
        <w:t xml:space="preserve">Amsterdam Business Hub</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Business Consultant Services in Netherlands Amsterdam</dc:title>
  <dc:creator/>
  <dc:language>en</dc:language>
  <cp:keywords/>
  <dcterms:created xsi:type="dcterms:W3CDTF">2026-07-23T16:57:51Z</dcterms:created>
  <dcterms:modified xsi:type="dcterms:W3CDTF">2026-07-23T16:57:51Z</dcterms:modified>
</cp:coreProperties>
</file>

<file path=docProps/custom.xml><?xml version="1.0" encoding="utf-8"?>
<Properties xmlns="http://schemas.openxmlformats.org/officeDocument/2006/custom-properties" xmlns:vt="http://schemas.openxmlformats.org/officeDocument/2006/docPropsVTypes"/>
</file>