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Q2</w:t>
      </w:r>
      <w:r>
        <w:t xml:space="preserve"> </w:t>
      </w:r>
      <w:r>
        <w:t xml:space="preserve">2024</w:t>
      </w:r>
    </w:p>
    <w:bookmarkStart w:id="30" w:name="X2a490e47343790d39f2ae0ce9f46bba3ed17e30"/>
    <w:p>
      <w:pPr>
        <w:pStyle w:val="Heading1"/>
      </w:pPr>
      <w:r>
        <w:t xml:space="preserve">Quarterly Sales Report: Business Consultant Services in New Zealand Auckland</w:t>
      </w:r>
    </w:p>
    <w:p>
      <w:pPr>
        <w:pStyle w:val="FirstParagraph"/>
      </w:pPr>
      <w:r>
        <w:rPr>
          <w:bCs/>
          <w:b/>
        </w:rPr>
        <w:t xml:space="preserve">Date:</w:t>
      </w:r>
      <w:r>
        <w:t xml:space="preserve"> </w:t>
      </w:r>
      <w:r>
        <w:t xml:space="preserve">July 5, 2024</w:t>
      </w:r>
      <w:r>
        <w:br/>
      </w:r>
      <w:r>
        <w:rPr>
          <w:bCs/>
          <w:b/>
        </w:rPr>
        <w:t xml:space="preserve">Prepared For:</w:t>
      </w:r>
      <w:r>
        <w:t xml:space="preserve"> </w:t>
      </w:r>
      <w:r>
        <w:t xml:space="preserve">Executive Leadership Team, Auckland Business Insight Group</w:t>
      </w:r>
      <w:r>
        <w:br/>
      </w:r>
      <w:r>
        <w:rPr>
          <w:bCs/>
          <w:b/>
        </w:rPr>
        <w:t xml:space="preserve">Report Period:</w:t>
      </w:r>
      <w:r>
        <w:t xml:space="preserve"> </w:t>
      </w:r>
      <w:r>
        <w:t xml:space="preserve">April 1 - June 30, 2024</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New Zealand's primary economic hub, Auckland. During Q2 2024, we achieved a record 18% month-on-month growth in new client acquisition, securing 37 new engagements valued at NZD $1.84M. The success is directly attributed to our hyper-localized consulting approach tailored to Auckland's unique market dynamics—addressing challenges like rising operational costs, workforce shortages, and competitive pressures in key sectors including tourism, manufacturing, and tech startups within the Tāmaki Makaurau region.</w:t>
      </w:r>
    </w:p>
    <w:bookmarkEnd w:id="20"/>
    <w:bookmarkStart w:id="21" w:name="Xa56401dfb02fe9de8e7eb131005b2b6cf877789"/>
    <w:p>
      <w:pPr>
        <w:pStyle w:val="Heading2"/>
      </w:pPr>
      <w:r>
        <w:t xml:space="preserve">II. Market Context: Why Business Consultant Expertise is Critical in New Zealand Auckland</w:t>
      </w:r>
    </w:p>
    <w:p>
      <w:pPr>
        <w:pStyle w:val="FirstParagraph"/>
      </w:pPr>
      <w:r>
        <w:t xml:space="preserve">New Zealand Auckland's economy continues to outpace national growth (1.9% vs 1.6% for NZ), yet businesses face unprecedented headwinds. Our market analysis reveals 68% of Auckland SMEs struggle with scaling due to supply chain disruptions, while 54% cite talent retention as their top concern—issues directly addressed by our Business Consultant framework.</w:t>
      </w:r>
    </w:p>
    <w:p>
      <w:pPr>
        <w:pStyle w:val="BodyText"/>
      </w:pPr>
      <w:r>
        <w:t xml:space="preserve">For instance, a prominent Auckland-based sustainable fashion brand leveraged our Business Consultant services to restructure supplier partnerships, reducing costs by 22% and increasing market share in the Oceania region. This outcome exemplifies how localized expertise drives tangible results for New Zealand Auckland enterprises navigating complex global supply chains.</w:t>
      </w:r>
    </w:p>
    <w:bookmarkEnd w:id="21"/>
    <w:bookmarkStart w:id="24" w:name="iii.-q2-sales-performance-highlights"/>
    <w:p>
      <w:pPr>
        <w:pStyle w:val="Heading2"/>
      </w:pPr>
      <w:r>
        <w:t xml:space="preserve">III. Q2 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Offering</w:t>
            </w:r>
          </w:p>
        </w:tc>
        <w:tc>
          <w:tcPr/>
          <w:p>
            <w:pPr>
              <w:pStyle w:val="Compact"/>
              <w:jc w:val="left"/>
            </w:pPr>
            <w:r>
              <w:t xml:space="preserve">New Clients (Q2)</w:t>
            </w:r>
          </w:p>
        </w:tc>
        <w:tc>
          <w:tcPr/>
          <w:p>
            <w:pPr>
              <w:pStyle w:val="Compact"/>
              <w:jc w:val="left"/>
            </w:pPr>
            <w:r>
              <w:t xml:space="preserve">Average Contract Value (NZD)</w:t>
            </w:r>
          </w:p>
        </w:tc>
        <w:tc>
          <w:tcPr/>
          <w:p>
            <w:pPr>
              <w:pStyle w:val="Compact"/>
              <w:jc w:val="left"/>
            </w:pPr>
            <w:r>
              <w:t xml:space="preserve">Key Auckland Industries Served</w:t>
            </w:r>
          </w:p>
        </w:tc>
        <w:tc>
          <w:tcPr/>
          <w:p>
            <w:pPr>
              <w:pStyle w:val="Compact"/>
            </w:pPr>
          </w:p>
        </w:tc>
      </w:tr>
      <w:tr>
        <w:tc>
          <w:tcPr/>
          <w:p>
            <w:pPr>
              <w:pStyle w:val="Compact"/>
              <w:jc w:val="left"/>
            </w:pPr>
            <w:r>
              <w:t xml:space="preserve">Strategic Growth Planning</w:t>
            </w:r>
          </w:p>
        </w:tc>
        <w:tc>
          <w:tcPr/>
          <w:p>
            <w:pPr>
              <w:pStyle w:val="Compact"/>
              <w:jc w:val="left"/>
            </w:pPr>
            <w:r>
              <w:t xml:space="preserve">14</w:t>
            </w:r>
          </w:p>
        </w:tc>
        <w:tc>
          <w:tcPr/>
          <w:p>
            <w:pPr>
              <w:pStyle w:val="Compact"/>
              <w:jc w:val="left"/>
            </w:pPr>
            <w:r>
              <w:t xml:space="preserve">$48,500</w:t>
            </w:r>
          </w:p>
        </w:tc>
        <w:tc>
          <w:tcPr/>
          <w:p>
            <w:pPr>
              <w:pStyle w:val="Compact"/>
              <w:jc w:val="left"/>
            </w:pPr>
            <w:r>
              <w:t xml:space="preserve">Tourism, Hospitality (e.g., North Shore hotels)</w:t>
            </w:r>
          </w:p>
        </w:tc>
        <w:tc>
          <w:tcPr/>
          <w:p>
            <w:pPr>
              <w:pStyle w:val="Compact"/>
            </w:pPr>
          </w:p>
        </w:tc>
      </w:tr>
      <w:tr>
        <w:tc>
          <w:tcPr/>
          <w:p>
            <w:pPr>
              <w:pStyle w:val="Compact"/>
              <w:jc w:val="left"/>
            </w:pPr>
            <w:r>
              <w:t xml:space="preserve">Operational Efficiency Audits</w:t>
            </w:r>
          </w:p>
        </w:tc>
        <w:tc>
          <w:tcPr/>
          <w:p>
            <w:pPr>
              <w:pStyle w:val="Compact"/>
              <w:jc w:val="left"/>
            </w:pPr>
            <w:r>
              <w:t xml:space="preserve">9</w:t>
            </w:r>
          </w:p>
        </w:tc>
        <w:tc>
          <w:tcPr/>
          <w:p>
            <w:pPr>
              <w:pStyle w:val="Compact"/>
              <w:jc w:val="left"/>
            </w:pPr>
            <w:r>
              <w:t xml:space="preserve">New Clients (Q2)</w:t>
            </w:r>
          </w:p>
        </w:tc>
        <w:tc>
          <w:tcPr/>
          <w:p>
            <w:pPr>
              <w:pStyle w:val="Compact"/>
              <w:jc w:val="left"/>
            </w:pPr>
            <w:r>
              <w:t xml:space="preserve">Average Contract Value (NZD)</w:t>
            </w:r>
          </w:p>
        </w:tc>
        <w:tc>
          <w:tcPr/>
          <w:p>
            <w:pPr>
              <w:pStyle w:val="Compact"/>
              <w:jc w:val="left"/>
            </w:pPr>
            <w:r>
              <w:t xml:space="preserve">Key Auckland Industries Served</w:t>
            </w:r>
          </w:p>
        </w:tc>
      </w:tr>
    </w:tbl>
    <w:bookmarkStart w:id="22" w:name="a.-pipeline-analysis-conversion-rates"/>
    <w:p>
      <w:pPr>
        <w:pStyle w:val="Heading3"/>
      </w:pPr>
      <w:r>
        <w:t xml:space="preserve">A. Pipeline Analysis &amp; Conversion Rates</w:t>
      </w:r>
    </w:p>
    <w:p>
      <w:pPr>
        <w:pStyle w:val="FirstParagraph"/>
      </w:pPr>
      <w:r>
        <w:t xml:space="preserve">Our sales pipeline for Business Consultant services in New Zealand Auckland grew by 41% YoY, with a 62% conversion rate from discovery calls to proposals—a significant uplift from the industry average of 48%. This reflects our ability to immediately articulate value within Auckland’s context. For example, we secured a major contract with an Auckland-based logistics firm (a key player in Port Taranaki operations) by demonstrating how our Business Consultant approach reduced delivery lead times by 33% through supply chain optimization.</w:t>
      </w:r>
    </w:p>
    <w:bookmarkEnd w:id="22"/>
    <w:bookmarkStart w:id="23" w:name="Xa91a562b0ca7cd066959edf4f4378a047be548b"/>
    <w:p>
      <w:pPr>
        <w:pStyle w:val="Heading3"/>
      </w:pPr>
      <w:r>
        <w:t xml:space="preserve">B. Geographic Focus: Targeting Auckland's Economic Hubs</w:t>
      </w:r>
    </w:p>
    <w:p>
      <w:pPr>
        <w:pStyle w:val="FirstParagraph"/>
      </w:pPr>
      <w:r>
        <w:t xml:space="preserve">We prioritized high-potential suburbs within New Zealand Auckland:</w:t>
      </w:r>
    </w:p>
    <w:p>
      <w:pPr>
        <w:numPr>
          <w:ilvl w:val="0"/>
          <w:numId w:val="1001"/>
        </w:numPr>
        <w:pStyle w:val="Compact"/>
      </w:pPr>
      <w:r>
        <w:rPr>
          <w:bCs/>
          <w:b/>
        </w:rPr>
        <w:t xml:space="preserve">Waitematā CBD:</w:t>
      </w:r>
      <w:r>
        <w:t xml:space="preserve"> </w:t>
      </w:r>
      <w:r>
        <w:t xml:space="preserve">28% of new clients (e.g., financial services firms adapting to new banking regulations)</w:t>
      </w:r>
    </w:p>
    <w:p>
      <w:pPr>
        <w:numPr>
          <w:ilvl w:val="0"/>
          <w:numId w:val="1001"/>
        </w:numPr>
        <w:pStyle w:val="Compact"/>
      </w:pPr>
      <w:r>
        <w:rPr>
          <w:bCs/>
          <w:b/>
        </w:rPr>
        <w:t xml:space="preserve">Ponsonby/Newton:</w:t>
      </w:r>
      <w:r>
        <w:t xml:space="preserve"> </w:t>
      </w:r>
      <w:r>
        <w:t xml:space="preserve">22% (retail and hospitality chains managing post-pandemic recovery)</w:t>
      </w:r>
    </w:p>
    <w:p>
      <w:pPr>
        <w:numPr>
          <w:ilvl w:val="0"/>
          <w:numId w:val="1001"/>
        </w:numPr>
        <w:pStyle w:val="Compact"/>
      </w:pPr>
      <w:r>
        <w:rPr>
          <w:bCs/>
          <w:b/>
        </w:rPr>
        <w:t xml:space="preserve">Tāmaki Makaurau Suburbs (East Auckland):</w:t>
      </w:r>
      <w:r>
        <w:t xml:space="preserve"> </w:t>
      </w:r>
      <w:r>
        <w:t xml:space="preserve">18% (manufacturing SMEs seeking export pathways to ASEAN markets)</w:t>
      </w:r>
    </w:p>
    <w:bookmarkEnd w:id="23"/>
    <w:bookmarkEnd w:id="24"/>
    <w:bookmarkStart w:id="25" w:name="Xda851e4f5fe6c1d9877d388eb2c8edbcd41017b"/>
    <w:p>
      <w:pPr>
        <w:pStyle w:val="Heading2"/>
      </w:pPr>
      <w:r>
        <w:t xml:space="preserve">IV. Client Impact: Measurable Outcomes in New Zealand Auckland</w:t>
      </w:r>
    </w:p>
    <w:p>
      <w:pPr>
        <w:pStyle w:val="FirstParagraph"/>
      </w:pPr>
      <w:r>
        <w:t xml:space="preserve">The true value of our Business Consultant services is reflected in client results. In Q2 alone, 94% of new engagements reported measurable improvements within 90 days:</w:t>
      </w:r>
    </w:p>
    <w:p>
      <w:pPr>
        <w:numPr>
          <w:ilvl w:val="0"/>
          <w:numId w:val="1002"/>
        </w:numPr>
        <w:pStyle w:val="Compact"/>
      </w:pPr>
      <w:r>
        <w:rPr>
          <w:bCs/>
          <w:b/>
        </w:rPr>
        <w:t xml:space="preserve">Case Study (Auckland Tech Startup):</w:t>
      </w:r>
      <w:r>
        <w:t xml:space="preserve"> </w:t>
      </w:r>
      <w:r>
        <w:t xml:space="preserve">Business Consultant team implemented agile restructuring, accelerating their Series A funding round by 5 months and securing NZD $2.1M in investment—critical for growth in New Zealand's competitive tech ecosystem.</w:t>
      </w:r>
    </w:p>
    <w:p>
      <w:pPr>
        <w:numPr>
          <w:ilvl w:val="0"/>
          <w:numId w:val="1002"/>
        </w:numPr>
        <w:pStyle w:val="Compact"/>
      </w:pPr>
      <w:r>
        <w:rPr>
          <w:bCs/>
          <w:b/>
        </w:rPr>
        <w:t xml:space="preserve">Case Study (Auckland Manufacturing SME):</w:t>
      </w:r>
      <w:r>
        <w:t xml:space="preserve"> </w:t>
      </w:r>
      <w:r>
        <w:t xml:space="preserve">Through operational efficiency consulting, the client reduced overhead costs by 19% while increasing output capacity by 27%, directly countering Auckland's high-cost business environment.</w:t>
      </w:r>
    </w:p>
    <w:bookmarkEnd w:id="25"/>
    <w:bookmarkStart w:id="26" w:name="v.-challenges-strategic-adjustments"/>
    <w:p>
      <w:pPr>
        <w:pStyle w:val="Heading2"/>
      </w:pPr>
      <w:r>
        <w:t xml:space="preserve">V. Challenges &amp; Strategic Adjustments</w:t>
      </w:r>
    </w:p>
    <w:p>
      <w:pPr>
        <w:pStyle w:val="FirstParagraph"/>
      </w:pPr>
      <w:r>
        <w:t xml:space="preserve">Despite strong growth, we identified two challenges requiring tailored responses for New Zealand Auckland:</w:t>
      </w:r>
    </w:p>
    <w:p>
      <w:pPr>
        <w:numPr>
          <w:ilvl w:val="0"/>
          <w:numId w:val="1003"/>
        </w:numPr>
        <w:pStyle w:val="Compact"/>
      </w:pPr>
      <w:r>
        <w:rPr>
          <w:bCs/>
          <w:b/>
        </w:rPr>
        <w:t xml:space="preserve">Intense Local Competition:</w:t>
      </w:r>
      <w:r>
        <w:t xml:space="preserve"> </w:t>
      </w:r>
      <w:r>
        <w:t xml:space="preserve">3 new consulting firms entered the Auckland market in Q1. Our response: Deepened industry-specific expertise (e.g., launching an "Auckland Tourism Recovery" specialization), resulting in a 15% higher win rate for niche sectors.</w:t>
      </w:r>
    </w:p>
    <w:p>
      <w:pPr>
        <w:numPr>
          <w:ilvl w:val="0"/>
          <w:numId w:val="1003"/>
        </w:numPr>
        <w:pStyle w:val="Compact"/>
      </w:pPr>
      <w:r>
        <w:rPr>
          <w:bCs/>
          <w:b/>
        </w:rPr>
        <w:t xml:space="preserve">Client Budget Constraints:</w:t>
      </w:r>
      <w:r>
        <w:t xml:space="preserve"> </w:t>
      </w:r>
      <w:r>
        <w:t xml:space="preserve">Post-pandemic cost pressures led to shorter sales cycles. We introduced flexible engagement models (e.g., "60-Day Value Sprint" at NZD $12,500), which captured 31% of new leads.</w:t>
      </w:r>
    </w:p>
    <w:bookmarkEnd w:id="26"/>
    <w:bookmarkStart w:id="27" w:name="vi.-recommendations-for-q3-2024"/>
    <w:p>
      <w:pPr>
        <w:pStyle w:val="Heading2"/>
      </w:pPr>
      <w:r>
        <w:t xml:space="preserve">VI. Recommendations for Q3 2024</w:t>
      </w:r>
    </w:p>
    <w:p>
      <w:pPr>
        <w:pStyle w:val="FirstParagraph"/>
      </w:pPr>
      <w:r>
        <w:t xml:space="preserve">To capitalize on Auckland’s economic momentum, we recommend:</w:t>
      </w:r>
    </w:p>
    <w:p>
      <w:pPr>
        <w:numPr>
          <w:ilvl w:val="0"/>
          <w:numId w:val="1004"/>
        </w:numPr>
        <w:pStyle w:val="Compact"/>
      </w:pPr>
      <w:r>
        <w:rPr>
          <w:bCs/>
          <w:b/>
        </w:rPr>
        <w:t xml:space="preserve">Expand "Auckland-Specific" Consulting Packages:</w:t>
      </w:r>
      <w:r>
        <w:t xml:space="preserve"> </w:t>
      </w:r>
      <w:r>
        <w:t xml:space="preserve">Develop offerings addressing hyper-local challenges (e.g., "Auckland Tourism Resilience Framework" for CBD hospitality businesses post-2023 events).</w:t>
      </w:r>
    </w:p>
    <w:p>
      <w:pPr>
        <w:numPr>
          <w:ilvl w:val="0"/>
          <w:numId w:val="1004"/>
        </w:numPr>
        <w:pStyle w:val="Compact"/>
      </w:pPr>
      <w:r>
        <w:rPr>
          <w:bCs/>
          <w:b/>
        </w:rPr>
        <w:t xml:space="preserve">Forge Strategic Alliances:</w:t>
      </w:r>
      <w:r>
        <w:t xml:space="preserve"> </w:t>
      </w:r>
      <w:r>
        <w:t xml:space="preserve">Partner with Auckland Chambers of Commerce and Auckland Council to co-host workshops on regional economic trends.</w:t>
      </w:r>
    </w:p>
    <w:p>
      <w:pPr>
        <w:numPr>
          <w:ilvl w:val="0"/>
          <w:numId w:val="1004"/>
        </w:numPr>
        <w:pStyle w:val="Compact"/>
      </w:pPr>
      <w:r>
        <w:rPr>
          <w:bCs/>
          <w:b/>
        </w:rPr>
        <w:t xml:space="preserve">Leverage Data Analytics:</w:t>
      </w:r>
      <w:r>
        <w:t xml:space="preserve"> </w:t>
      </w:r>
      <w:r>
        <w:t xml:space="preserve">Implement a dedicated Auckland market intelligence dashboard tracking real-time metrics (e.g., construction permits, tourism arrivals) to proactively identify consulting opportunities.</w:t>
      </w:r>
    </w:p>
    <w:bookmarkEnd w:id="27"/>
    <w:bookmarkStart w:id="29" w:name="vii.-conclusion"/>
    <w:p>
      <w:pPr>
        <w:pStyle w:val="Heading2"/>
      </w:pPr>
      <w:r>
        <w:t xml:space="preserve">VII. Conclusion</w:t>
      </w:r>
    </w:p>
    <w:p>
      <w:pPr>
        <w:pStyle w:val="FirstParagraph"/>
      </w:pPr>
      <w:r>
        <w:t xml:space="preserve">This Sales Report underscores that effective Business Consultant services in New Zealand Auckland are not just valuable—they’re essential for navigating the region’s unique economic landscape. Our Q2 performance validates our localized strategy: by embedding deep knowledge of Auckland’s industries, regulatory environment, and cultural nuances into every consulting engagement, we deliver outsized results where generic approaches fail.</w:t>
      </w:r>
    </w:p>
    <w:p>
      <w:pPr>
        <w:pStyle w:val="BodyText"/>
      </w:pPr>
      <w:r>
        <w:t xml:space="preserve">As Auckland continues to drive New Zealand's economic growth (projected 2.3% GDP expansion in 2024), the demand for specialized Business Consultant expertise will only intensify. We are positioned to lead this charge with our proven methodology, rooted in understanding what makes New Zealand Auckland’s business community thrive—and where it needs strategic support most urgently.</w:t>
      </w:r>
    </w:p>
    <w:p>
      <w:pPr>
        <w:pStyle w:val="BodyText"/>
      </w:pPr>
      <w:r>
        <w:rPr>
          <w:bCs/>
          <w:b/>
        </w:rPr>
        <w:t xml:space="preserve">Next Steps:</w:t>
      </w:r>
      <w:r>
        <w:t xml:space="preserve"> </w:t>
      </w:r>
      <w:r>
        <w:t xml:space="preserve">Finalize Q3 strategy session with Auckland leadership team on July 15, 2024. All materials available at:</w:t>
      </w:r>
      <w:r>
        <w:t xml:space="preserve"> </w:t>
      </w:r>
      <w:hyperlink r:id="rId28">
        <w:r>
          <w:rPr>
            <w:rStyle w:val="Hyperlink"/>
          </w:rPr>
          <w:t xml:space="preserve">www.aucklandbusinessinsight.co.nz/q3-strategy</w:t>
        </w:r>
      </w:hyperlink>
    </w:p>
    <w:p>
      <w:pPr>
        <w:pStyle w:val="BodyText"/>
      </w:pPr>
      <w:r>
        <w:rPr>
          <w:iCs/>
          <w:i/>
        </w:rPr>
        <w:t xml:space="preserve">Auckland Business Insight Group | Empowering New Zealand Auckland Businesses Through Strategic Consulting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ucklandbusinessinsight.co.nz/q3-strategy" TargetMode="External" /></Relationships>
</file>

<file path=word/_rels/footnotes.xml.rels><?xml version="1.0" encoding="UTF-8"?><Relationships xmlns="http://schemas.openxmlformats.org/package/2006/relationships"><Relationship Type="http://schemas.openxmlformats.org/officeDocument/2006/relationships/hyperlink" Id="rId28" Target="https://www.aucklandbusinessinsight.co.nz/q3-strate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Business Consultant Sales Report | Q2 2024</dc:title>
  <dc:creator/>
  <dc:language>en</dc:language>
  <cp:keywords/>
  <dcterms:created xsi:type="dcterms:W3CDTF">2025-12-11T16:08:31Z</dcterms:created>
  <dcterms:modified xsi:type="dcterms:W3CDTF">2025-12-11T16:08:31Z</dcterms:modified>
</cp:coreProperties>
</file>

<file path=docProps/custom.xml><?xml version="1.0" encoding="utf-8"?>
<Properties xmlns="http://schemas.openxmlformats.org/officeDocument/2006/custom-properties" xmlns:vt="http://schemas.openxmlformats.org/officeDocument/2006/docPropsVTypes"/>
</file>