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Abuja,</w:t>
      </w:r>
      <w:r>
        <w:t xml:space="preserve"> </w:t>
      </w:r>
      <w:r>
        <w:t xml:space="preserve">Nigeria</w:t>
      </w:r>
    </w:p>
    <w:bookmarkStart w:id="30" w:name="X50b8c903a9ea21a42f141bc7057675534b143c3"/>
    <w:p>
      <w:pPr>
        <w:pStyle w:val="Heading1"/>
      </w:pPr>
      <w:r>
        <w:t xml:space="preserve">Comprehensive Sales Report: Business Consultant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w:t>
      </w:r>
      <w:r>
        <w:br/>
      </w:r>
      <w:r>
        <w:rPr>
          <w:bCs/>
          <w:b/>
        </w:rPr>
        <w:t xml:space="preserve">Geographic Focus:</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Nigeria Abuja, analyzing market penetration, client acquisition, and revenue generation from Q3 2023. As the capital city of Nigeria and political hub, Abuja presents unique opportunities for business consulting firms seeking to influence national economic strategies. Our team has successfully secured 14 new enterprise contracts in the last quarter alone, representing a 27% increase over Q2 and establishing our Business Consultant division as a leading service provider in Nigeria's capital region. This report confirms that strategic positioning within Abuja's government-linked business ecosystem is yielding exceptional returns for our consultancy firm.</w:t>
      </w:r>
    </w:p>
    <w:bookmarkEnd w:id="20"/>
    <w:bookmarkStart w:id="22" w:name="X74b9db7c8ae89a09d70ca7f28030bb1c2cf5b62"/>
    <w:p>
      <w:pPr>
        <w:pStyle w:val="Heading2"/>
      </w:pPr>
      <w:r>
        <w:t xml:space="preserve">II. Market Context: Nigeria Abuja Business Environment</w:t>
      </w:r>
    </w:p>
    <w:p>
      <w:pPr>
        <w:pStyle w:val="FirstParagraph"/>
      </w:pPr>
      <w:r>
        <w:t xml:space="preserve">Nigeria Abuja continues to emerge as Africa's premier business destination, with the Federal Government of Nigeria (FGN) driving massive infrastructure projects and regulatory reforms. The city's economic landscape features three critical sectors for our Business Consultant services: government procurement (35% market share), emerging fintech startups (28%), and multinational corporation headquarters operations (22%). Recent policy shifts like the Economic Recovery and Growth Plan 2021-2023 have created unprecedented demand for specialized Business Consultant expertise in compliance navigation, public-private partnership structuring, and operational efficiency optimization. This report confirms that our Abuja-based consultants are uniquely positioned to leverage these national priorities.</w:t>
      </w:r>
    </w:p>
    <w:bookmarkStart w:id="21" w:name="key-market-indicators-abuja-specific"/>
    <w:p>
      <w:pPr>
        <w:pStyle w:val="Heading3"/>
      </w:pPr>
      <w:r>
        <w:t xml:space="preserve">Key Market Indicators (Abuja-Specific):</w:t>
      </w:r>
    </w:p>
    <w:p>
      <w:pPr>
        <w:numPr>
          <w:ilvl w:val="0"/>
          <w:numId w:val="1001"/>
        </w:numPr>
        <w:pStyle w:val="Compact"/>
      </w:pPr>
      <w:r>
        <w:t xml:space="preserve">Government contracts in Abuja grew by 18% YoY (National Bureau of Statistics, Q2 2023)</w:t>
      </w:r>
    </w:p>
    <w:p>
      <w:pPr>
        <w:numPr>
          <w:ilvl w:val="0"/>
          <w:numId w:val="1001"/>
        </w:numPr>
        <w:pStyle w:val="Compact"/>
      </w:pPr>
      <w:r>
        <w:t xml:space="preserve">67% of Fortune 500 Nigerian subsidiaries maintain headquarters in Abuja</w:t>
      </w:r>
    </w:p>
    <w:p>
      <w:pPr>
        <w:numPr>
          <w:ilvl w:val="0"/>
          <w:numId w:val="1001"/>
        </w:numPr>
        <w:pStyle w:val="Compact"/>
      </w:pPr>
      <w:r>
        <w:t xml:space="preserve">Business consultancy demand surges during federal budget formulation cycles</w:t>
      </w:r>
    </w:p>
    <w:bookmarkEnd w:id="21"/>
    <w:bookmarkEnd w:id="22"/>
    <w:bookmarkStart w:id="23" w:name="iii.-sales-performance-analysis"/>
    <w:p>
      <w:pPr>
        <w:pStyle w:val="Heading2"/>
      </w:pPr>
      <w:r>
        <w:t xml:space="preserve">III. Sales Performance Analysis</w:t>
      </w:r>
    </w:p>
    <w:p>
      <w:pPr>
        <w:pStyle w:val="FirstParagraph"/>
      </w:pPr>
      <w:r>
        <w:t xml:space="preserve">Our Business Consultant team achieved remarkable success in Nigeria Abuja during Q3, with total revenue reaching ₦87.4 million (≈$105,000 USD), a 34% quarterly growth. This performance stems from our strategic focus on three high-value service bundles: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Client Type</w:t>
            </w:r>
          </w:p>
        </w:tc>
        <w:tc>
          <w:tcPr/>
          <w:p>
            <w:pPr>
              <w:pStyle w:val="Compact"/>
              <w:jc w:val="left"/>
            </w:pPr>
            <w:r>
              <w:t xml:space="preserve">Contract Value (₦)</w:t>
            </w:r>
          </w:p>
        </w:tc>
        <w:tc>
          <w:tcPr/>
          <w:p>
            <w:pPr>
              <w:pStyle w:val="Compact"/>
              <w:jc w:val="left"/>
            </w:pPr>
            <w:r>
              <w:t xml:space="preserve">% of Total Revenue</w:t>
            </w:r>
          </w:p>
        </w:tc>
      </w:tr>
      <w:tr>
        <w:tc>
          <w:tcPr/>
          <w:p>
            <w:pPr>
              <w:pStyle w:val="Compact"/>
              <w:jc w:val="left"/>
            </w:pPr>
            <w:r>
              <w:t xml:space="preserve">Government Compliance Optimization</w:t>
            </w:r>
          </w:p>
        </w:tc>
        <w:tc>
          <w:tcPr/>
          <w:p>
            <w:pPr>
              <w:pStyle w:val="Compact"/>
              <w:jc w:val="left"/>
            </w:pPr>
            <w:r>
              <w:t xml:space="preserve">Federal Agencies</w:t>
            </w:r>
          </w:p>
        </w:tc>
        <w:tc>
          <w:tcPr/>
          <w:p>
            <w:pPr>
              <w:pStyle w:val="Compact"/>
              <w:jc w:val="left"/>
            </w:pPr>
            <w:r>
              <w:t xml:space="preserve">32,100,000</w:t>
            </w:r>
          </w:p>
        </w:tc>
        <w:tc>
          <w:tcPr/>
          <w:p>
            <w:pPr>
              <w:pStyle w:val="Compact"/>
              <w:jc w:val="left"/>
            </w:pPr>
            <w:r>
              <w:t xml:space="preserve">36.7%</w:t>
            </w:r>
          </w:p>
        </w:tc>
      </w:tr>
      <w:tr>
        <w:tc>
          <w:tcPr/>
          <w:p>
            <w:pPr>
              <w:pStyle w:val="Compact"/>
              <w:jc w:val="left"/>
            </w:pPr>
            <w:r>
              <w:t xml:space="preserve">National Enterprise Restructuring</w:t>
            </w:r>
          </w:p>
        </w:tc>
        <w:tc>
          <w:tcPr/>
          <w:p>
            <w:pPr>
              <w:pStyle w:val="Compact"/>
              <w:jc w:val="left"/>
            </w:pPr>
            <w:r>
              <w:t xml:space="preserve">Multinational Corporations</w:t>
            </w:r>
          </w:p>
        </w:tc>
        <w:tc>
          <w:tcPr/>
          <w:p>
            <w:pPr>
              <w:pStyle w:val="Compact"/>
              <w:jc w:val="left"/>
            </w:pPr>
            <w:r>
              <w:t xml:space="preserve">28,950,000</w:t>
            </w:r>
          </w:p>
        </w:tc>
        <w:tc>
          <w:tcPr/>
          <w:p>
            <w:pPr>
              <w:pStyle w:val="Compact"/>
              <w:jc w:val="left"/>
            </w:pPr>
            <w:r>
              <w:t xml:space="preserve">33.1%</w:t>
            </w:r>
          </w:p>
        </w:tc>
      </w:tr>
      <w:tr>
        <w:tc>
          <w:tcPr/>
          <w:p>
            <w:pPr>
              <w:pStyle w:val="Compact"/>
              <w:jc w:val="left"/>
            </w:pPr>
            <w:r>
              <w:t xml:space="preserve">Fintech Market Entry Strategy</w:t>
            </w:r>
          </w:p>
        </w:tc>
        <w:tc>
          <w:tcPr/>
          <w:p>
            <w:pPr>
              <w:pStyle w:val="Compact"/>
              <w:jc w:val="left"/>
            </w:pPr>
            <w:r>
              <w:t xml:space="preserve">Startup Accelerators</w:t>
            </w:r>
          </w:p>
        </w:tc>
        <w:tc>
          <w:tcPr/>
          <w:p>
            <w:pPr>
              <w:pStyle w:val="Compact"/>
              <w:jc w:val="left"/>
            </w:pPr>
            <w:r>
              <w:t xml:space="preserve">16,425,000</w:t>
            </w:r>
          </w:p>
        </w:tc>
        <w:tc>
          <w:tcPr/>
          <w:p>
            <w:pPr>
              <w:pStyle w:val="Compact"/>
              <w:jc w:val="left"/>
            </w:pPr>
            <w:r>
              <w:t xml:space="preserve">18.8%</w:t>
            </w:r>
          </w:p>
        </w:tc>
      </w:tr>
      <w:tr>
        <w:tc>
          <w:tcPr/>
          <w:p>
            <w:pPr>
              <w:pStyle w:val="Compact"/>
              <w:jc w:val="left"/>
            </w:pPr>
            <w:r>
              <w:t xml:space="preserve">Digital Transformation Roadmaps</w:t>
            </w:r>
          </w:p>
        </w:tc>
        <w:tc>
          <w:tcPr/>
          <w:p>
            <w:pPr>
              <w:pStyle w:val="Compact"/>
              <w:jc w:val="left"/>
            </w:pPr>
            <w:r>
              <w:t xml:space="preserve">Conglomerates (Nigeria)</w:t>
            </w:r>
          </w:p>
        </w:tc>
        <w:tc>
          <w:tcPr/>
          <w:p>
            <w:pPr>
              <w:pStyle w:val="Compact"/>
              <w:jc w:val="left"/>
            </w:pPr>
            <w:r>
              <w:t xml:space="preserve">10,925,000</w:t>
            </w:r>
          </w:p>
        </w:tc>
        <w:tc>
          <w:tcPr/>
          <w:p>
            <w:pPr>
              <w:pStyle w:val="Compact"/>
              <w:jc w:val="left"/>
            </w:pPr>
            <w:r>
              <w:t xml:space="preserve">12.5%</w:t>
            </w:r>
          </w:p>
        </w:tc>
      </w:tr>
    </w:tbl>
    <w:p>
      <w:pPr>
        <w:pStyle w:val="BodyText"/>
      </w:pPr>
      <w:r>
        <w:t xml:space="preserve">The most significant win was securing a ₦32.1 million contract with the Federal Ministry of Finance for strategic compliance restructuring – directly aligning with Abuja's position as Nigeria's economic command center. This Business Consultant engagement demonstrates our ability to deliver immediate ROI through regulatory navigation, a critical need in Nigeria's evolving business landscape.</w:t>
      </w:r>
    </w:p>
    <w:bookmarkEnd w:id="23"/>
    <w:bookmarkStart w:id="24" w:name="X0ee6282865b12e60cee5ea33faa5b5c7a5838b3"/>
    <w:p>
      <w:pPr>
        <w:pStyle w:val="Heading2"/>
      </w:pPr>
      <w:r>
        <w:t xml:space="preserve">IV. Client Acquisition Strategy in Nigeria Abuja</w:t>
      </w:r>
    </w:p>
    <w:p>
      <w:pPr>
        <w:pStyle w:val="FirstParagraph"/>
      </w:pPr>
      <w:r>
        <w:t xml:space="preserve">Our success stems from hyper-localized market intelligence developed specifically for Abuja's business culture:</w:t>
      </w:r>
    </w:p>
    <w:p>
      <w:pPr>
        <w:numPr>
          <w:ilvl w:val="0"/>
          <w:numId w:val="1002"/>
        </w:numPr>
        <w:pStyle w:val="Compact"/>
      </w:pPr>
      <w:r>
        <w:rPr>
          <w:bCs/>
          <w:b/>
        </w:rPr>
        <w:t xml:space="preserve">Government Engagement Protocol:</w:t>
      </w:r>
      <w:r>
        <w:t xml:space="preserve"> </w:t>
      </w:r>
      <w:r>
        <w:t xml:space="preserve">We maintain formal relationships with the Federal Ministry of Commerce, Investment Promotion Commission (FIC), and Abuja City Council – enabling direct access to high-value opportunities.</w:t>
      </w:r>
    </w:p>
    <w:p>
      <w:pPr>
        <w:numPr>
          <w:ilvl w:val="0"/>
          <w:numId w:val="1002"/>
        </w:numPr>
        <w:pStyle w:val="Compact"/>
      </w:pPr>
      <w:r>
        <w:rPr>
          <w:bCs/>
          <w:b/>
        </w:rPr>
        <w:t xml:space="preserve">Cultural Intelligence Integration:</w:t>
      </w:r>
      <w:r>
        <w:t xml:space="preserve"> </w:t>
      </w:r>
      <w:r>
        <w:t xml:space="preserve">All Business Consultant team members undergo mandatory training on Abuja's unique business etiquette, including understanding traditional negotiation rhythms in government contracting.</w:t>
      </w:r>
    </w:p>
    <w:p>
      <w:pPr>
        <w:numPr>
          <w:ilvl w:val="0"/>
          <w:numId w:val="1002"/>
        </w:numPr>
        <w:pStyle w:val="Compact"/>
      </w:pPr>
      <w:r>
        <w:rPr>
          <w:bCs/>
          <w:b/>
        </w:rPr>
        <w:t xml:space="preserve">Strategic Partnerships:</w:t>
      </w:r>
      <w:r>
        <w:t xml:space="preserve"> </w:t>
      </w:r>
      <w:r>
        <w:t xml:space="preserve">Collaborations with Abuja Chamber of Commerce and Industry (ACCI) and Enterprise Development Centre (EDC) have generated 42% of new leads.</w:t>
      </w:r>
    </w:p>
    <w:p>
      <w:pPr>
        <w:pStyle w:val="FirstParagraph"/>
      </w:pPr>
      <w:r>
        <w:t xml:space="preserve">This approach has reduced our client acquisition cost in Nigeria Abuja by 29% compared to national averages, proving that localized market understanding is non-negotiable for effective Business Consultant operations.</w:t>
      </w:r>
    </w:p>
    <w:bookmarkEnd w:id="24"/>
    <w:bookmarkStart w:id="27" w:name="Xcee22fefc49206c69cd435680a495f988d20a40"/>
    <w:p>
      <w:pPr>
        <w:pStyle w:val="Heading2"/>
      </w:pPr>
      <w:r>
        <w:t xml:space="preserve">V. Challenges and Strategic Opportunities</w:t>
      </w:r>
    </w:p>
    <w:bookmarkStart w:id="25" w:name="key-challenges"/>
    <w:p>
      <w:pPr>
        <w:pStyle w:val="Heading3"/>
      </w:pPr>
      <w:r>
        <w:t xml:space="preserve">Key Challenges:</w:t>
      </w:r>
    </w:p>
    <w:p>
      <w:pPr>
        <w:numPr>
          <w:ilvl w:val="0"/>
          <w:numId w:val="1003"/>
        </w:numPr>
        <w:pStyle w:val="Compact"/>
      </w:pPr>
      <w:r>
        <w:rPr>
          <w:bCs/>
          <w:b/>
        </w:rPr>
        <w:t xml:space="preserve">Policy Volatility:</w:t>
      </w:r>
      <w:r>
        <w:t xml:space="preserve"> </w:t>
      </w:r>
      <w:r>
        <w:t xml:space="preserve">Rapid regulatory changes require Business Consultant teams to maintain 24/7 monitoring of FGN circulars.</w:t>
      </w:r>
    </w:p>
    <w:p>
      <w:pPr>
        <w:numPr>
          <w:ilvl w:val="0"/>
          <w:numId w:val="1003"/>
        </w:numPr>
        <w:pStyle w:val="Compact"/>
      </w:pPr>
      <w:r>
        <w:rPr>
          <w:bCs/>
          <w:b/>
        </w:rPr>
        <w:t xml:space="preserve">Demand-Supply Gap:</w:t>
      </w:r>
      <w:r>
        <w:t xml:space="preserve"> </w:t>
      </w:r>
      <w:r>
        <w:t xml:space="preserve">Only 12% of Abuja-based consultants offer full compliance services for Nigerian federal requirements.</w:t>
      </w:r>
    </w:p>
    <w:bookmarkEnd w:id="25"/>
    <w:bookmarkStart w:id="26" w:name="emerging-opportunities"/>
    <w:p>
      <w:pPr>
        <w:pStyle w:val="Heading3"/>
      </w:pPr>
      <w:r>
        <w:t xml:space="preserve">Emerging Opportunities:</w:t>
      </w:r>
    </w:p>
    <w:p>
      <w:pPr>
        <w:numPr>
          <w:ilvl w:val="0"/>
          <w:numId w:val="1004"/>
        </w:numPr>
        <w:pStyle w:val="Compact"/>
      </w:pPr>
      <w:r>
        <w:rPr>
          <w:bCs/>
          <w:b/>
        </w:rPr>
        <w:t xml:space="preserve">Nigeria's New Oil and Gas Policy (2023):</w:t>
      </w:r>
      <w:r>
        <w:t xml:space="preserve"> </w:t>
      </w:r>
      <w:r>
        <w:t xml:space="preserve">Requires specialized Business Consultant support for 47+ state-owned entities in Abuja.</w:t>
      </w:r>
    </w:p>
    <w:p>
      <w:pPr>
        <w:numPr>
          <w:ilvl w:val="0"/>
          <w:numId w:val="1004"/>
        </w:numPr>
        <w:pStyle w:val="Compact"/>
      </w:pPr>
      <w:r>
        <w:rPr>
          <w:bCs/>
          <w:b/>
        </w:rPr>
        <w:t xml:space="preserve">Nigerian Infrastructure Fund:</w:t>
      </w:r>
      <w:r>
        <w:t xml:space="preserve"> </w:t>
      </w:r>
      <w:r>
        <w:t xml:space="preserve">₦1.8 trillion project pipeline creating demand for our strategic planning services.</w:t>
      </w:r>
    </w:p>
    <w:p>
      <w:pPr>
        <w:numPr>
          <w:ilvl w:val="0"/>
          <w:numId w:val="1004"/>
        </w:numPr>
        <w:pStyle w:val="Compact"/>
      </w:pPr>
      <w:r>
        <w:rPr>
          <w:bCs/>
          <w:b/>
        </w:rPr>
        <w:t xml:space="preserve">Abuja Smart City Initiative:</w:t>
      </w:r>
      <w:r>
        <w:t xml:space="preserve"> </w:t>
      </w:r>
      <w:r>
        <w:t xml:space="preserve">2025 target requires comprehensive business model redesigns for all municipal operations.</w:t>
      </w:r>
    </w:p>
    <w:bookmarkEnd w:id="26"/>
    <w:bookmarkEnd w:id="27"/>
    <w:bookmarkStart w:id="28" w:name="X43ba4274860cce0c00465b47e58fa1c2750d766"/>
    <w:p>
      <w:pPr>
        <w:pStyle w:val="Heading2"/>
      </w:pPr>
      <w:r>
        <w:t xml:space="preserve">VI. Recommendations for Enhanced Sales Performance</w:t>
      </w:r>
    </w:p>
    <w:p>
      <w:pPr>
        <w:pStyle w:val="FirstParagraph"/>
      </w:pPr>
      <w:r>
        <w:t xml:space="preserve">To capitalize on Nigeria Abuja's growth trajectory, we recommend:</w:t>
      </w:r>
    </w:p>
    <w:p>
      <w:pPr>
        <w:numPr>
          <w:ilvl w:val="0"/>
          <w:numId w:val="1005"/>
        </w:numPr>
        <w:pStyle w:val="Compact"/>
      </w:pPr>
      <w:r>
        <w:rPr>
          <w:bCs/>
          <w:b/>
        </w:rPr>
        <w:t xml:space="preserve">Establish Abuja Strategic Hub:</w:t>
      </w:r>
      <w:r>
        <w:t xml:space="preserve"> </w:t>
      </w:r>
      <w:r>
        <w:t xml:space="preserve">Dedicate 3 senior Business Consultant professionals full-time to Abuja operations, creating a localized service center that reduces response times by 65%.</w:t>
      </w:r>
    </w:p>
    <w:p>
      <w:pPr>
        <w:numPr>
          <w:ilvl w:val="0"/>
          <w:numId w:val="1005"/>
        </w:numPr>
        <w:pStyle w:val="Compact"/>
      </w:pPr>
      <w:r>
        <w:rPr>
          <w:bCs/>
          <w:b/>
        </w:rPr>
        <w:t xml:space="preserve">Develop Government-Specific Training:</w:t>
      </w:r>
      <w:r>
        <w:t xml:space="preserve"> </w:t>
      </w:r>
      <w:r>
        <w:t xml:space="preserve">Create certified modules on Nigerian Federal Procurement Rules (FPR) for all Business Consultant staff – addressing the current skill gap in our industry.</w:t>
      </w:r>
    </w:p>
    <w:p>
      <w:pPr>
        <w:numPr>
          <w:ilvl w:val="0"/>
          <w:numId w:val="1005"/>
        </w:numPr>
        <w:pStyle w:val="Compact"/>
      </w:pPr>
      <w:r>
        <w:rPr>
          <w:bCs/>
          <w:b/>
        </w:rPr>
        <w:t xml:space="preserve">Leverage Abuja Economic Zones:</w:t>
      </w:r>
      <w:r>
        <w:t xml:space="preserve"> </w:t>
      </w:r>
      <w:r>
        <w:t xml:space="preserve">Target companies operating within Abuja's International Financial Centre and Technology Hub for targeted sales campaigns.</w:t>
      </w:r>
    </w:p>
    <w:p>
      <w:pPr>
        <w:numPr>
          <w:ilvl w:val="0"/>
          <w:numId w:val="1005"/>
        </w:numPr>
        <w:pStyle w:val="Compact"/>
      </w:pPr>
      <w:r>
        <w:rPr>
          <w:bCs/>
          <w:b/>
        </w:rPr>
        <w:t xml:space="preserve">Pricing Strategy Refinement:</w:t>
      </w:r>
      <w:r>
        <w:t xml:space="preserve"> </w:t>
      </w:r>
      <w:r>
        <w:t xml:space="preserve">Introduce tiered service packages aligned with Nigeria's quarterly budget cycles, matching client cash flow patterns in Abuja.</w:t>
      </w:r>
    </w:p>
    <w:bookmarkEnd w:id="28"/>
    <w:bookmarkStart w:id="29" w:name="vii.-conclusion"/>
    <w:p>
      <w:pPr>
        <w:pStyle w:val="Heading2"/>
      </w:pPr>
      <w:r>
        <w:t xml:space="preserve">VII. Conclusion</w:t>
      </w:r>
    </w:p>
    <w:p>
      <w:pPr>
        <w:pStyle w:val="FirstParagraph"/>
      </w:pPr>
      <w:r>
        <w:t xml:space="preserve">This Sales Report unequivocally confirms that our Business Consultant services are achieving exceptional traction within Nigeria Abuja's dynamic business ecosystem. The capital city has demonstrated 41% higher client retention rates compared to other Nigerian markets, directly attributable to our cultural intelligence and government relationship strategy. As Nigeria's economic engine continues evolving from Lagos-centric models toward Abuja-led policy implementation, our position as a premier Business Consultant in this market is strategically irreplaceable.</w:t>
      </w:r>
    </w:p>
    <w:p>
      <w:pPr>
        <w:pStyle w:val="BodyText"/>
      </w:pPr>
      <w:r>
        <w:t xml:space="preserve">Looking ahead, we project 45% revenue growth for the Business Consultant division by Q1 2024 through targeted expansion within Abuja's Federal Ministry network and emerging digital economy sectors. The Nigeria Abuja market isn't just a regional opportunity – it's the gateway to nationwide influence for any business consulting firm seeking to shape Nigeria's economic future. This Sales Report serves as both a performance milestone and a strategic roadmap for our continued dominance in Africa's most influential business capital.</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Abuja, Nigeria</dc:title>
  <dc:creator/>
  <dc:language>en</dc:language>
  <cp:keywords/>
  <dcterms:created xsi:type="dcterms:W3CDTF">2025-12-12T02:48:37Z</dcterms:created>
  <dcterms:modified xsi:type="dcterms:W3CDTF">2025-12-12T02:48:37Z</dcterms:modified>
</cp:coreProperties>
</file>

<file path=docProps/custom.xml><?xml version="1.0" encoding="utf-8"?>
<Properties xmlns="http://schemas.openxmlformats.org/officeDocument/2006/custom-properties" xmlns:vt="http://schemas.openxmlformats.org/officeDocument/2006/docPropsVTypes"/>
</file>