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Peru</w:t>
      </w:r>
      <w:r>
        <w:t xml:space="preserve"> </w:t>
      </w:r>
      <w:r>
        <w:t xml:space="preserve">Lima</w:t>
      </w:r>
      <w:r>
        <w:t xml:space="preserve"> </w:t>
      </w:r>
      <w:r>
        <w:t xml:space="preserve">Market</w:t>
      </w:r>
    </w:p>
    <w:bookmarkStart w:id="28" w:name="X4f230ca19a7517adaed170c51c255212d60a9f8"/>
    <w:p>
      <w:pPr>
        <w:pStyle w:val="Heading1"/>
      </w:pPr>
      <w:r>
        <w:t xml:space="preserve">Sales Report: Business Consultant Services Performance in Peru Lima (Q3 2023)</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within the dynamic market of Peru Lima during the third quarter of 2023. As a premier business consultancy firm operating in the heart of Peru's economic capital, we have achieved significant milestones that underscore our strategic position in this critical market. The report highlights exceptional growth metrics, client acquisition success, and actionable insights for future expansion across Peru Lima. Our tailored Business Consultant solutions have directly contributed to a 27% year-over-year revenue increase in Lima operations, affirming our market leadership in providing specialized business optimization services to Peruvian enterprises.</w:t>
      </w:r>
    </w:p>
    <w:bookmarkEnd w:id="20"/>
    <w:bookmarkStart w:id="21" w:name="X9123307ca5078b537834bc0c6c9be6ada9ab36f"/>
    <w:p>
      <w:pPr>
        <w:pStyle w:val="Heading2"/>
      </w:pPr>
      <w:r>
        <w:t xml:space="preserve">Market Context: Business Consulting Landscape in Peru Lima</w:t>
      </w:r>
    </w:p>
    <w:p>
      <w:pPr>
        <w:pStyle w:val="FirstParagraph"/>
      </w:pPr>
      <w:r>
        <w:t xml:space="preserve">Peru Lima serves as the undisputed economic engine of Peru, housing 40% of the nation's GDP and hosting over 75% of all multinational corporate headquarters. The city's business environment presents unique opportunities for our Business Consultant services, driven by three critical factors: (1) rapid digital transformation initiatives across manufacturing and retail sectors; (2) increased regulatory complexity requiring specialized compliance expertise; and (3) the growing demand for sustainable business models among local enterprises. As the largest metropolitan area in Peru, Lima represents a $12.7 billion market for professional consulting services – with our firm capturing 8.3% of this segment during Q3 2023.</w:t>
      </w:r>
    </w:p>
    <w:bookmarkEnd w:id="21"/>
    <w:bookmarkStart w:id="22" w:name="q3-2023-sales-performance-highlights"/>
    <w:p>
      <w:pPr>
        <w:pStyle w:val="Heading2"/>
      </w:pPr>
      <w:r>
        <w:t xml:space="preserve">Q3 2023 Sales Performance Highlights</w:t>
      </w:r>
    </w:p>
    <w:p>
      <w:pPr>
        <w:pStyle w:val="FirstParagraph"/>
      </w:pPr>
      <w:r>
        <w:t xml:space="preserve">Our Business Consultant team in Peru Lima delivered outstanding results during the third quarter, exceeding all performance targets. Key achievements include:</w:t>
      </w:r>
    </w:p>
    <w:p>
      <w:pPr>
        <w:numPr>
          <w:ilvl w:val="0"/>
          <w:numId w:val="1001"/>
        </w:numPr>
        <w:pStyle w:val="Compact"/>
      </w:pPr>
      <w:r>
        <w:rPr>
          <w:bCs/>
          <w:b/>
        </w:rPr>
        <w:t xml:space="preserve">Revenue Growth:</w:t>
      </w:r>
      <w:r>
        <w:t xml:space="preserve"> </w:t>
      </w:r>
      <w:r>
        <w:t xml:space="preserve">$1.87M in service revenue (27% YoY increase), with 62% coming from new client acquisitions in Lima</w:t>
      </w:r>
    </w:p>
    <w:p>
      <w:pPr>
        <w:numPr>
          <w:ilvl w:val="0"/>
          <w:numId w:val="1001"/>
        </w:numPr>
        <w:pStyle w:val="Compact"/>
      </w:pPr>
      <w:r>
        <w:rPr>
          <w:bCs/>
          <w:b/>
        </w:rPr>
        <w:t xml:space="preserve">Client Acquisition:</w:t>
      </w:r>
      <w:r>
        <w:t xml:space="preserve"> </w:t>
      </w:r>
      <w:r>
        <w:t xml:space="preserve">Secured 38 new enterprise clients across finance, mining, and agribusiness – representing a 41% increase from Q2</w:t>
      </w:r>
    </w:p>
    <w:p>
      <w:pPr>
        <w:numPr>
          <w:ilvl w:val="0"/>
          <w:numId w:val="1001"/>
        </w:numPr>
        <w:pStyle w:val="Compact"/>
      </w:pPr>
      <w:r>
        <w:rPr>
          <w:bCs/>
          <w:b/>
        </w:rPr>
        <w:t xml:space="preserve">Service Adoption:</w:t>
      </w:r>
      <w:r>
        <w:t xml:space="preserve"> </w:t>
      </w:r>
      <w:r>
        <w:t xml:space="preserve">Achieved record uptake of our specialized "Peru Market Entry" package (32 new clients), addressing Lima's growing need for foreign market expansion support</w:t>
      </w:r>
    </w:p>
    <w:p>
      <w:pPr>
        <w:numPr>
          <w:ilvl w:val="0"/>
          <w:numId w:val="1001"/>
        </w:numPr>
        <w:pStyle w:val="Compact"/>
      </w:pPr>
      <w:r>
        <w:rPr>
          <w:bCs/>
          <w:b/>
        </w:rPr>
        <w:t xml:space="preserve">Client Retention:</w:t>
      </w:r>
      <w:r>
        <w:t xml:space="preserve"> </w:t>
      </w:r>
      <w:r>
        <w:t xml:space="preserve">Maintained exceptional 94% client retention rate among existing Peru Lima accounts through our customized Business Consultant engagement model</w:t>
      </w:r>
    </w:p>
    <w:bookmarkEnd w:id="22"/>
    <w:bookmarkStart w:id="23" w:name="X1e6d3732eae558acd3e135bd8463471d607765d"/>
    <w:p>
      <w:pPr>
        <w:pStyle w:val="Heading2"/>
      </w:pPr>
      <w:r>
        <w:t xml:space="preserve">Industry-Specific Sales Breakdown (Peru Lima)</w:t>
      </w:r>
    </w:p>
    <w:p>
      <w:pPr>
        <w:pStyle w:val="FirstParagraph"/>
      </w:pPr>
      <w:r>
        <w:t xml:space="preserve">Industry Sector</w:t>
      </w:r>
    </w:p>
    <w:p>
      <w:pPr>
        <w:pStyle w:val="BodyText"/>
      </w:pPr>
      <w:r>
        <w:t xml:space="preserve">Client Count (Q3)</w:t>
      </w:r>
    </w:p>
    <w:p>
      <w:pPr>
        <w:pStyle w:val="BodyText"/>
      </w:pPr>
      <w:r>
        <w:t xml:space="preserve">Revenue Contribution</w:t>
      </w:r>
    </w:p>
    <w:p>
      <w:pPr>
        <w:pStyle w:val="BodyText"/>
      </w:pPr>
      <w:r>
        <w:t xml:space="preserve">Growth vs. Q2</w:t>
      </w:r>
    </w:p>
    <w:p>
      <w:pPr>
        <w:pStyle w:val="BodyText"/>
      </w:pPr>
      <w:r>
        <w:t xml:space="preserve">Financial Services</w:t>
      </w:r>
    </w:p>
    <w:p>
      <w:pPr>
        <w:pStyle w:val="BodyText"/>
      </w:pPr>
      <w:r>
        <w:t xml:space="preserve">14</w:t>
      </w:r>
    </w:p>
    <w:p>
      <w:pPr>
        <w:pStyle w:val="BodyText"/>
      </w:pPr>
      <w:r>
        <w:t xml:space="preserve">$580,000 (31%)</w:t>
      </w:r>
    </w:p>
    <w:p>
      <w:pPr>
        <w:pStyle w:val="BodyText"/>
      </w:pPr>
      <w:r>
        <w:t xml:space="preserve">+22%</w:t>
      </w:r>
    </w:p>
    <w:p>
      <w:pPr>
        <w:pStyle w:val="BodyText"/>
      </w:pPr>
      <w:r>
        <w:t xml:space="preserve">Mining &amp; Resources</w:t>
      </w:r>
    </w:p>
    <w:p>
      <w:pPr>
        <w:pStyle w:val="BodyText"/>
      </w:pPr>
      <w:r>
        <w:t xml:space="preserve">9</w:t>
      </w:r>
    </w:p>
    <w:p>
      <w:pPr>
        <w:pStyle w:val="BodyText"/>
      </w:pPr>
      <w:r>
        <w:t xml:space="preserve">&lt;</w:t>
      </w:r>
    </w:p>
    <w:p>
      <w:pPr>
        <w:pStyle w:val="BodyText"/>
      </w:pPr>
      <w:r>
        <w:t xml:space="preserve">$415,000 (22%)</w:t>
      </w:r>
    </w:p>
    <w:p>
      <w:pPr>
        <w:pStyle w:val="BodyText"/>
      </w:pPr>
      <w:r>
        <w:rPr>
          <w:bCs/>
          <w:b/>
        </w:rPr>
        <w:t xml:space="preserve">+37%</w:t>
      </w:r>
    </w:p>
    <w:p>
      <w:pPr>
        <w:pStyle w:val="BodyText"/>
      </w:pPr>
      <w:r>
        <w:t xml:space="preserve">Agribusiness &amp; Food Processing</w:t>
      </w:r>
    </w:p>
    <w:p>
      <w:pPr>
        <w:pStyle w:val="BodyText"/>
      </w:pPr>
      <w:r>
        <w:t xml:space="preserve">11</w:t>
      </w:r>
    </w:p>
    <w:p>
      <w:pPr>
        <w:pStyle w:val="BodyText"/>
      </w:pPr>
      <w:r>
        <w:t xml:space="preserve">$398,000 (21%)</w:t>
      </w:r>
    </w:p>
    <w:p>
      <w:pPr>
        <w:pStyle w:val="BodyText"/>
      </w:pPr>
      <w:r>
        <w:t xml:space="preserve">+45%</w:t>
      </w:r>
    </w:p>
    <w:p>
      <w:pPr>
        <w:pStyle w:val="BodyText"/>
      </w:pPr>
      <w:r>
        <w:t xml:space="preserve">Retail &amp; E-commerce</w:t>
      </w:r>
    </w:p>
    <w:p>
      <w:pPr>
        <w:pStyle w:val="BodyText"/>
      </w:pPr>
      <w:r>
        <w:t xml:space="preserve">&lt;</w:t>
      </w:r>
    </w:p>
    <w:p>
      <w:pPr>
        <w:pStyle w:val="BodyText"/>
      </w:pPr>
      <w:r>
        <w:t xml:space="preserve">4</w:t>
      </w:r>
    </w:p>
    <w:p>
      <w:pPr>
        <w:pStyle w:val="BodyText"/>
      </w:pPr>
      <w:r>
        <w:t xml:space="preserve">$367,000 (19%)</w:t>
      </w:r>
    </w:p>
    <w:p>
      <w:pPr>
        <w:pStyle w:val="BodyText"/>
      </w:pPr>
      <w:r>
        <w:rPr>
          <w:bCs/>
          <w:b/>
        </w:rPr>
        <w:t xml:space="preserve">+63%</w:t>
      </w:r>
    </w:p>
    <w:p>
      <w:pPr>
        <w:pStyle w:val="BodyText"/>
      </w:pPr>
      <w:r>
        <w:t xml:space="preserve">Technology &amp; SaaS</w:t>
      </w:r>
    </w:p>
    <w:p>
      <w:pPr>
        <w:pStyle w:val="BodyText"/>
      </w:pPr>
      <w:r>
        <w:t xml:space="preserve">10</w:t>
      </w:r>
    </w:p>
    <w:p>
      <w:pPr>
        <w:pStyle w:val="BodyText"/>
      </w:pPr>
      <w:r>
        <w:t xml:space="preserve">$122,000 (7%)</w:t>
      </w:r>
    </w:p>
    <w:p>
      <w:pPr>
        <w:pStyle w:val="BodyText"/>
      </w:pPr>
      <w:r>
        <w:t xml:space="preserve">+55%</w:t>
      </w:r>
    </w:p>
    <w:p>
      <w:pPr>
        <w:pStyle w:val="BodyText"/>
      </w:pPr>
      <w:r>
        <w:t xml:space="preserve">The dramatic growth in retail/e-commerce (63% QoQ) directly correlates with Lima's accelerated digital adoption following Peru's 2023 e-commerce legislation. Our Business Consultant team successfully implemented localized customer acquisition strategies for three major Lima-based retailers, resulting in average 34% revenue increases for those clients within their first six months of engagement.</w:t>
      </w:r>
    </w:p>
    <w:bookmarkEnd w:id="23"/>
    <w:bookmarkStart w:id="24" w:name="key-challenges-and-strategic-responses"/>
    <w:p>
      <w:pPr>
        <w:pStyle w:val="Heading2"/>
      </w:pPr>
      <w:r>
        <w:t xml:space="preserve">Key Challenges and Strategic Responses</w:t>
      </w:r>
    </w:p>
    <w:p>
      <w:pPr>
        <w:pStyle w:val="FirstParagraph"/>
      </w:pPr>
      <w:r>
        <w:t xml:space="preserve">Operating as a Business Consultant firm in Peru Lima presents unique challenges requiring agile solutions:</w:t>
      </w:r>
    </w:p>
    <w:p>
      <w:pPr>
        <w:numPr>
          <w:ilvl w:val="0"/>
          <w:numId w:val="1002"/>
        </w:numPr>
        <w:pStyle w:val="Compact"/>
      </w:pPr>
      <w:r>
        <w:rPr>
          <w:bCs/>
          <w:b/>
        </w:rPr>
        <w:t xml:space="preserve">Cultural Nuances:</w:t>
      </w:r>
      <w:r>
        <w:t xml:space="preserve"> </w:t>
      </w:r>
      <w:r>
        <w:t xml:space="preserve">Implemented "Lima Market Sensitivity Training" for all consultants, resulting in 28% faster client onboarding and improved proposal acceptance rates</w:t>
      </w:r>
    </w:p>
    <w:p>
      <w:pPr>
        <w:numPr>
          <w:ilvl w:val="0"/>
          <w:numId w:val="1002"/>
        </w:numPr>
        <w:pStyle w:val="Compact"/>
      </w:pPr>
      <w:r>
        <w:rPr>
          <w:bCs/>
          <w:b/>
        </w:rPr>
        <w:t xml:space="preserve">Regulatory Complexity:</w:t>
      </w:r>
      <w:r>
        <w:t xml:space="preserve"> </w:t>
      </w:r>
      <w:r>
        <w:t xml:space="preserve">Developed Peru-specific compliance toolkit integrated into our Business Consultant delivery framework, reducing client implementation timelines by 37%</w:t>
      </w:r>
    </w:p>
    <w:p>
      <w:pPr>
        <w:numPr>
          <w:ilvl w:val="0"/>
          <w:numId w:val="1002"/>
        </w:numPr>
        <w:pStyle w:val="Compact"/>
      </w:pPr>
      <w:r>
        <w:rPr>
          <w:bCs/>
          <w:b/>
        </w:rPr>
        <w:t xml:space="preserve">Competition:</w:t>
      </w:r>
      <w:r>
        <w:t xml:space="preserve"> </w:t>
      </w:r>
      <w:r>
        <w:t xml:space="preserve">Differentiated through hyper-local expertise – our Lima team now includes three former senior executives from major Peruvian banks and mining firms</w:t>
      </w:r>
    </w:p>
    <w:bookmarkEnd w:id="24"/>
    <w:bookmarkStart w:id="25" w:name="X259e807a6c78650259baaaac09f39563abf58ae"/>
    <w:p>
      <w:pPr>
        <w:pStyle w:val="Heading2"/>
      </w:pPr>
      <w:r>
        <w:t xml:space="preserve">Opportunities for Future Growth in Peru Lima</w:t>
      </w:r>
    </w:p>
    <w:p>
      <w:pPr>
        <w:pStyle w:val="FirstParagraph"/>
      </w:pPr>
      <w:r>
        <w:t xml:space="preserve">The current business environment in Peru Lima offers multiple high-potential avenues for our Business Consultant services:</w:t>
      </w:r>
    </w:p>
    <w:p>
      <w:pPr>
        <w:numPr>
          <w:ilvl w:val="0"/>
          <w:numId w:val="1003"/>
        </w:numPr>
        <w:pStyle w:val="Compact"/>
      </w:pPr>
      <w:r>
        <w:rPr>
          <w:bCs/>
          <w:b/>
        </w:rPr>
        <w:t xml:space="preserve">Sustainable Business Transformation:</w:t>
      </w:r>
      <w:r>
        <w:t xml:space="preserve"> </w:t>
      </w:r>
      <w:r>
        <w:t xml:space="preserve">With Peru's 2030 carbon neutrality target, demand for ESG strategy consulting has surged 182% YoY. Our Lima team is developing specialized sustainability assessment packages</w:t>
      </w:r>
    </w:p>
    <w:p>
      <w:pPr>
        <w:numPr>
          <w:ilvl w:val="0"/>
          <w:numId w:val="1003"/>
        </w:numPr>
        <w:pStyle w:val="Compact"/>
      </w:pPr>
      <w:r>
        <w:rPr>
          <w:bCs/>
          <w:b/>
        </w:rPr>
        <w:t xml:space="preserve">Peru's Free Trade Agreements Expansion:</w:t>
      </w:r>
      <w:r>
        <w:t xml:space="preserve"> </w:t>
      </w:r>
      <w:r>
        <w:t xml:space="preserve">As Lima serves as the hub for all Peru trade missions, Business Consultant services supporting market entry via new FTAs (e.g., USMCA, EU-Peru) present a $4.2M annual opportunity</w:t>
      </w:r>
    </w:p>
    <w:p>
      <w:pPr>
        <w:numPr>
          <w:ilvl w:val="0"/>
          <w:numId w:val="1003"/>
        </w:numPr>
        <w:pStyle w:val="Compact"/>
      </w:pPr>
      <w:r>
        <w:rPr>
          <w:bCs/>
          <w:b/>
        </w:rPr>
        <w:t xml:space="preserve">Small &amp; Medium Enterprise (SME) Digitalization:</w:t>
      </w:r>
      <w:r>
        <w:t xml:space="preserve"> </w:t>
      </w:r>
      <w:r>
        <w:t xml:space="preserve">Over 80% of Lima's SMEs lack digital strategies – our new "Digital Starter Kit" for Peruvian SMEs generated $142,000 in Q3 revenue with high referral potential</w:t>
      </w:r>
    </w:p>
    <w:bookmarkEnd w:id="25"/>
    <w:bookmarkStart w:id="26" w:name="strategic-recommendations-for-q4-2023"/>
    <w:p>
      <w:pPr>
        <w:pStyle w:val="Heading2"/>
      </w:pPr>
      <w:r>
        <w:t xml:space="preserve">Strategic Recommendations for Q4 2023</w:t>
      </w:r>
    </w:p>
    <w:p>
      <w:pPr>
        <w:pStyle w:val="FirstParagraph"/>
      </w:pPr>
      <w:r>
        <w:t xml:space="preserve">Based on this Sales Report analysis, we recommend three priority actions for our Business Consultant operations in Peru Lima:</w:t>
      </w:r>
    </w:p>
    <w:p>
      <w:pPr>
        <w:numPr>
          <w:ilvl w:val="0"/>
          <w:numId w:val="1004"/>
        </w:numPr>
        <w:pStyle w:val="Compact"/>
      </w:pPr>
      <w:r>
        <w:rPr>
          <w:bCs/>
          <w:b/>
        </w:rPr>
        <w:t xml:space="preserve">Launch Lima-Specific Industry Hubs:</w:t>
      </w:r>
      <w:r>
        <w:t xml:space="preserve"> </w:t>
      </w:r>
      <w:r>
        <w:t xml:space="preserve">Create dedicated teams for finance (Lima Financial District), mining (Cerro de Pasco corridor), and agribusiness (Chiclayo/Lima value chain) to deepen market penetration</w:t>
      </w:r>
    </w:p>
    <w:p>
      <w:pPr>
        <w:numPr>
          <w:ilvl w:val="0"/>
          <w:numId w:val="1004"/>
        </w:numPr>
        <w:pStyle w:val="Compact"/>
      </w:pPr>
      <w:r>
        <w:rPr>
          <w:bCs/>
          <w:b/>
        </w:rPr>
        <w:t xml:space="preserve">Develop Bilingual Service Packages:</w:t>
      </w:r>
      <w:r>
        <w:t xml:space="preserve"> </w:t>
      </w:r>
      <w:r>
        <w:t xml:space="preserve">Introduce Spanish/English service bundles targeting multinational clients operating from Lima headquarters, expected to capture 15% of new enterprise deals</w:t>
      </w:r>
    </w:p>
    <w:p>
      <w:pPr>
        <w:numPr>
          <w:ilvl w:val="0"/>
          <w:numId w:val="1004"/>
        </w:numPr>
        <w:pStyle w:val="Compact"/>
      </w:pPr>
      <w:r>
        <w:rPr>
          <w:bCs/>
          <w:b/>
        </w:rPr>
        <w:t xml:space="preserve">Cultivate Government Partnerships:</w:t>
      </w:r>
      <w:r>
        <w:t xml:space="preserve"> </w:t>
      </w:r>
      <w:r>
        <w:t xml:space="preserve">Target Peru's Ministry of Production for national business optimization programs – potential $2.1M contract pipeline in Lima</w:t>
      </w:r>
    </w:p>
    <w:bookmarkEnd w:id="26"/>
    <w:bookmarkStart w:id="27" w:name="X4a6d512b349a7893e70c9bd19c6924afc785305"/>
    <w:p>
      <w:pPr>
        <w:pStyle w:val="Heading2"/>
      </w:pPr>
      <w:r>
        <w:t xml:space="preserve">Conclusion: Cementing Our Position as Lima's Premier Business Consultant</w:t>
      </w:r>
    </w:p>
    <w:p>
      <w:pPr>
        <w:pStyle w:val="FirstParagraph"/>
      </w:pPr>
      <w:r>
        <w:t xml:space="preserve">This Sales Report underscores the remarkable momentum our Business Consultant services have achieved within Peru Lima's competitive market landscape. The 27% YoY revenue growth, exceptional client acquisition rates, and deepening industry specialization demonstrate that our firm has become an indispensable partner for businesses navigating Peru's complex economic environment. As we move into Q4 2023, the strategic focus on hyper-local expertise – particularly our understanding of Lima's unique business culture and regulatory ecosystem – positions us to capture even greater market share. Our commitment to delivering measurable results through our Business Consultant framework continues to resonate with Peruvian enterprises seeking sustainable growth in Lima and across the national market. We project a 35% revenue increase for Peru Lima operations in Q4, driven by the expansion of our new sustainability and digital transformation service lines.</w:t>
      </w:r>
    </w:p>
    <w:p>
      <w:pPr>
        <w:pStyle w:val="BodyText"/>
      </w:pPr>
      <w:r>
        <w:rPr>
          <w:bCs/>
          <w:b/>
        </w:rPr>
        <w:t xml:space="preserve">Prepared for: Leadership Team, Global Business Development</w:t>
      </w:r>
      <w:r>
        <w:br/>
      </w:r>
      <w:r>
        <w:rPr>
          <w:bCs/>
          <w:b/>
        </w:rPr>
        <w:t xml:space="preserve">Prepared By: Lima Operations Division</w:t>
      </w:r>
      <w:r>
        <w:br/>
      </w:r>
      <w:r>
        <w:rPr>
          <w:bCs/>
          <w:b/>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 Peru Lima Market</dc:title>
  <dc:creator/>
  <dc:language>en</dc:language>
  <cp:keywords/>
  <dcterms:created xsi:type="dcterms:W3CDTF">2025-12-12T10:22:02Z</dcterms:created>
  <dcterms:modified xsi:type="dcterms:W3CDTF">2025-12-12T10:22:02Z</dcterms:modified>
</cp:coreProperties>
</file>

<file path=docProps/custom.xml><?xml version="1.0" encoding="utf-8"?>
<Properties xmlns="http://schemas.openxmlformats.org/officeDocument/2006/custom-properties" xmlns:vt="http://schemas.openxmlformats.org/officeDocument/2006/docPropsVTypes"/>
</file>