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Russia</w:t>
      </w:r>
      <w:r>
        <w:t xml:space="preserve"> </w:t>
      </w:r>
      <w:r>
        <w:t xml:space="preserve">Moscow</w:t>
      </w:r>
    </w:p>
    <w:bookmarkStart w:id="28" w:name="X78c2c75dca8d8dce6ac3fc6ad579372ee56bfa3"/>
    <w:p>
      <w:pPr>
        <w:pStyle w:val="Heading1"/>
      </w:pPr>
      <w:r>
        <w:t xml:space="preserve">Quarterly Sales Report: Business Consultant Services in Russia Moscow</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Purpose:</w:t>
      </w:r>
      <w:r>
        <w:t xml:space="preserve"> </w:t>
      </w:r>
      <w:r>
        <w:t xml:space="preserve">Comprehensive Analysis of Business Consulting Performance in Moscow Market</w:t>
      </w:r>
    </w:p>
    <w:bookmarkStart w:id="20" w:name="i.-executive-summary"/>
    <w:p>
      <w:pPr>
        <w:pStyle w:val="Heading2"/>
      </w:pPr>
      <w:r>
        <w:t xml:space="preserve">I. Executive Summary</w:t>
      </w:r>
    </w:p>
    <w:p>
      <w:pPr>
        <w:pStyle w:val="FirstParagraph"/>
      </w:pPr>
      <w:r>
        <w:t xml:space="preserve">This Sales Report details the performance of our Business Consultant services across Russia, with primary focus on Moscow—the nation's economic epicenter. During Q3 2023, our firm achieved a 17% year-over-year revenue growth in Moscow operations, securing contracts worth $4.8M from 28 new clients. The report validates that specialized Business Consultant expertise is increasingly vital for multinational corporations navigating Russia's complex market dynamics, particularly amid current geopolitical shifts and regulatory transformations.</w:t>
      </w:r>
    </w:p>
    <w:bookmarkEnd w:id="20"/>
    <w:bookmarkStart w:id="21" w:name="Xe9cf4ccf1691009f50f5e220c14da477db4f5d2"/>
    <w:p>
      <w:pPr>
        <w:pStyle w:val="Heading2"/>
      </w:pPr>
      <w:r>
        <w:t xml:space="preserve">II. Market Context: Business Consultant Demand in Russia Moscow</w:t>
      </w:r>
    </w:p>
    <w:p>
      <w:pPr>
        <w:pStyle w:val="FirstParagraph"/>
      </w:pPr>
      <w:r>
        <w:t xml:space="preserve">As the financial, corporate, and innovation hub of Russia, Moscow houses 78% of the country's Fortune 500 subsidiaries and all major international banks. However, this market demands nuanced Business Consultant engagement due to:</w:t>
      </w:r>
    </w:p>
    <w:p>
      <w:pPr>
        <w:numPr>
          <w:ilvl w:val="0"/>
          <w:numId w:val="1001"/>
        </w:numPr>
        <w:pStyle w:val="Compact"/>
      </w:pPr>
      <w:r>
        <w:rPr>
          <w:bCs/>
          <w:b/>
        </w:rPr>
        <w:t xml:space="preserve">Regulatory Complexity:</w:t>
      </w:r>
      <w:r>
        <w:t xml:space="preserve"> </w:t>
      </w:r>
      <w:r>
        <w:t xml:space="preserve">Evolving sanctions frameworks requiring real-time compliance adaptation</w:t>
      </w:r>
    </w:p>
    <w:p>
      <w:pPr>
        <w:numPr>
          <w:ilvl w:val="0"/>
          <w:numId w:val="1001"/>
        </w:numPr>
        <w:pStyle w:val="Compact"/>
      </w:pPr>
      <w:r>
        <w:rPr>
          <w:bCs/>
          <w:b/>
        </w:rPr>
        <w:t xml:space="preserve">Cultural Nuance:</w:t>
      </w:r>
      <w:r>
        <w:t xml:space="preserve"> </w:t>
      </w:r>
      <w:r>
        <w:t xml:space="preserve">Decision-making hierarchies differing from Western models</w:t>
      </w:r>
    </w:p>
    <w:p>
      <w:pPr>
        <w:numPr>
          <w:ilvl w:val="0"/>
          <w:numId w:val="1001"/>
        </w:numPr>
        <w:pStyle w:val="Compact"/>
      </w:pPr>
      <w:r>
        <w:rPr>
          <w:bCs/>
          <w:b/>
        </w:rPr>
        <w:t xml:space="preserve">Economic Volatility:</w:t>
      </w:r>
      <w:r>
        <w:t xml:space="preserve"> </w:t>
      </w:r>
      <w:r>
        <w:t xml:space="preserve">Inflation (12.8% YoY) demanding agile business restructuring</w:t>
      </w:r>
    </w:p>
    <w:p>
      <w:pPr>
        <w:pStyle w:val="FirstParagraph"/>
      </w:pPr>
      <w:r>
        <w:t xml:space="preserve">Our Sales Report confirms that 92% of Moscow-based enterprises now prioritize strategic Business Consultant partnerships over transactional services, recognizing their necessity for sustainable growth in Russia's volatile environment.</w:t>
      </w:r>
    </w:p>
    <w:bookmarkEnd w:id="21"/>
    <w:bookmarkStart w:id="22" w:name="Xeae207f9366e94b1467ce74bc679a84e338f7f2"/>
    <w:p>
      <w:pPr>
        <w:pStyle w:val="Heading2"/>
      </w:pPr>
      <w:r>
        <w:t xml:space="preserve">III. Sales Performance Highlights (Moscow Focus)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Variance</w:t>
      </w:r>
    </w:p>
    <w:p>
      <w:pPr>
        <w:pStyle w:val="BodyText"/>
      </w:pPr>
      <w:r>
        <w:t xml:space="preserve">New Client Acquisition (Moscow)</w:t>
      </w:r>
    </w:p>
    <w:p>
      <w:pPr>
        <w:pStyle w:val="BodyText"/>
      </w:pPr>
      <w:r>
        <w:t xml:space="preserve">28 clients</w:t>
      </w:r>
    </w:p>
    <w:p>
      <w:pPr>
        <w:pStyle w:val="BodyText"/>
      </w:pPr>
      <w:r>
        <w:t xml:space="preserve">19 clients</w:t>
      </w:r>
    </w:p>
    <w:p>
      <w:pPr>
        <w:pStyle w:val="BodyText"/>
      </w:pPr>
      <w:r>
        <w:t xml:space="preserve">+47.4%</w:t>
      </w:r>
    </w:p>
    <w:p>
      <w:pPr>
        <w:pStyle w:val="BodyText"/>
      </w:pPr>
      <w:r>
        <w:t xml:space="preserve">Avg. Contract Value</w:t>
      </w:r>
    </w:p>
    <w:p>
      <w:pPr>
        <w:pStyle w:val="BodyText"/>
      </w:pPr>
      <w:r>
        <w:t xml:space="preserve">$167,000</w:t>
      </w:r>
    </w:p>
    <w:p>
      <w:pPr>
        <w:pStyle w:val="BodyText"/>
      </w:pPr>
      <w:r>
        <w:t xml:space="preserve">&lt;</w:t>
      </w:r>
    </w:p>
    <w:p>
      <w:pPr>
        <w:pStyle w:val="BodyText"/>
      </w:pPr>
      <w:r>
        <w:t xml:space="preserve">$142,500</w:t>
      </w:r>
    </w:p>
    <w:p>
      <w:pPr>
        <w:pStyle w:val="BodyText"/>
      </w:pPr>
      <w:r>
        <w:t xml:space="preserve">Total Revenue (Moscow)</w:t>
      </w:r>
    </w:p>
    <w:p>
      <w:pPr>
        <w:pStyle w:val="BodyText"/>
      </w:pPr>
      <w:r>
        <w:t xml:space="preserve">$4.8M</w:t>
      </w:r>
    </w:p>
    <w:p>
      <w:pPr>
        <w:pStyle w:val="BodyText"/>
      </w:pPr>
      <w:r>
        <w:t xml:space="preserve">$4.1M</w:t>
      </w:r>
    </w:p>
    <w:p>
      <w:pPr>
        <w:pStyle w:val="BodyText"/>
      </w:pPr>
      <w:r>
        <w:t xml:space="preserve">+17.1%</w:t>
      </w:r>
    </w:p>
    <w:p>
      <w:pPr>
        <w:pStyle w:val="BodyText"/>
      </w:pPr>
      <w:r>
        <w:t xml:space="preserve">Client Retention Rate</w:t>
      </w:r>
    </w:p>
    <w:p>
      <w:pPr>
        <w:pStyle w:val="BodyText"/>
      </w:pPr>
      <w:r>
        <w:t xml:space="preserve">89%</w:t>
      </w:r>
    </w:p>
    <w:p>
      <w:pPr>
        <w:pStyle w:val="BodyText"/>
      </w:pPr>
      <w:r>
        <w:t xml:space="preserve">82%</w:t>
      </w:r>
    </w:p>
    <w:p>
      <w:pPr>
        <w:pStyle w:val="BodyText"/>
      </w:pPr>
      <w:r>
        <w:t xml:space="preserve">+7 pts</w:t>
      </w:r>
    </w:p>
    <w:p>
      <w:pPr>
        <w:pStyle w:val="BodyText"/>
      </w:pPr>
      <w:r>
        <w:t xml:space="preserve">The most significant growth occurred in three sectors:</w:t>
      </w:r>
    </w:p>
    <w:p>
      <w:pPr>
        <w:numPr>
          <w:ilvl w:val="0"/>
          <w:numId w:val="1002"/>
        </w:numPr>
        <w:pStyle w:val="Compact"/>
      </w:pPr>
      <w:r>
        <w:t xml:space="preserve">Fintech (35% of new contracts) – driven by sanctions-driven digital payment innovations</w:t>
      </w:r>
    </w:p>
    <w:p>
      <w:pPr>
        <w:numPr>
          <w:ilvl w:val="0"/>
          <w:numId w:val="1002"/>
        </w:numPr>
        <w:pStyle w:val="Compact"/>
      </w:pPr>
      <w:r>
        <w:t xml:space="preserve">Logistics &amp; Supply Chain (28%) – responding to export diversification needs</w:t>
      </w:r>
    </w:p>
    <w:p>
      <w:pPr>
        <w:numPr>
          <w:ilvl w:val="0"/>
          <w:numId w:val="1002"/>
        </w:numPr>
        <w:pStyle w:val="Compact"/>
      </w:pPr>
      <w:r>
        <w:t xml:space="preserve">Manufacturing (24%) – adapting to import substitution mandates</w:t>
      </w:r>
    </w:p>
    <w:bookmarkEnd w:id="22"/>
    <w:bookmarkStart w:id="23" w:name="X7cf7d41a25ad1f0decc92dd26f6eaa6c220a3ba"/>
    <w:p>
      <w:pPr>
        <w:pStyle w:val="Heading2"/>
      </w:pPr>
      <w:r>
        <w:t xml:space="preserve">IV. Moscow-Specific Success Story: PetroTrans Logistics</w:t>
      </w:r>
    </w:p>
    <w:p>
      <w:pPr>
        <w:pStyle w:val="FirstParagraph"/>
      </w:pPr>
      <w:r>
        <w:rPr>
          <w:iCs/>
          <w:i/>
        </w:rPr>
        <w:t xml:space="preserve">A $950K strategic overhaul for Russia's top 10 logistics provider in Moscow:</w:t>
      </w:r>
    </w:p>
    <w:p>
      <w:pPr>
        <w:numPr>
          <w:ilvl w:val="0"/>
          <w:numId w:val="1003"/>
        </w:numPr>
        <w:pStyle w:val="Compact"/>
      </w:pPr>
      <w:r>
        <w:rPr>
          <w:bCs/>
          <w:b/>
        </w:rPr>
        <w:t xml:space="preserve">Challenge:</w:t>
      </w:r>
      <w:r>
        <w:t xml:space="preserve"> </w:t>
      </w:r>
      <w:r>
        <w:t xml:space="preserve">Sanctions disrupted 68% of EU supply routes; operational costs rose 33%</w:t>
      </w:r>
    </w:p>
    <w:p>
      <w:pPr>
        <w:numPr>
          <w:ilvl w:val="0"/>
          <w:numId w:val="1003"/>
        </w:numPr>
        <w:pStyle w:val="Compact"/>
      </w:pPr>
      <w:r>
        <w:rPr>
          <w:bCs/>
          <w:b/>
        </w:rPr>
        <w:t xml:space="preserve">Business Consultant Intervention:</w:t>
      </w:r>
      <w:r>
        <w:t xml:space="preserve"> </w:t>
      </w:r>
      <w:r>
        <w:t xml:space="preserve">Our Moscow-based team redesigned regional hub network, implemented AI-driven route optimization, and navigated new customs protocols</w:t>
      </w:r>
    </w:p>
    <w:p>
      <w:pPr>
        <w:numPr>
          <w:ilvl w:val="0"/>
          <w:numId w:val="1003"/>
        </w:numPr>
        <w:pStyle w:val="Compact"/>
      </w:pPr>
      <w:r>
        <w:rPr>
          <w:bCs/>
          <w:b/>
        </w:rPr>
        <w:t xml:space="preserve">Results (90-Day Implementation):</w:t>
      </w:r>
    </w:p>
    <w:p>
      <w:pPr>
        <w:numPr>
          <w:ilvl w:val="1"/>
          <w:numId w:val="1004"/>
        </w:numPr>
        <w:pStyle w:val="Compact"/>
      </w:pPr>
      <w:r>
        <w:t xml:space="preserve">Reduced delivery delays by 41%</w:t>
      </w:r>
    </w:p>
    <w:p>
      <w:pPr>
        <w:numPr>
          <w:ilvl w:val="1"/>
          <w:numId w:val="1004"/>
        </w:numPr>
        <w:pStyle w:val="Compact"/>
      </w:pPr>
      <w:r>
        <w:t xml:space="preserve">Lowered operational costs by 22% ($18M annual savings)</w:t>
      </w:r>
    </w:p>
    <w:p>
      <w:pPr>
        <w:numPr>
          <w:ilvl w:val="1"/>
          <w:numId w:val="1004"/>
        </w:numPr>
        <w:pStyle w:val="Compact"/>
      </w:pPr>
      <w:r>
        <w:t xml:space="preserve">Secured contracts with 7 new Central Asian clients</w:t>
      </w:r>
    </w:p>
    <w:bookmarkEnd w:id="23"/>
    <w:bookmarkStart w:id="24" w:name="X28e05a5370cc78a8a5bc2e5e1c3d13693eabc93"/>
    <w:p>
      <w:pPr>
        <w:pStyle w:val="Heading2"/>
      </w:pPr>
      <w:r>
        <w:t xml:space="preserve">V. Strategic Opportunities in Russia Moscow (Sales Report Analysis)</w:t>
      </w:r>
    </w:p>
    <w:p>
      <w:pPr>
        <w:pStyle w:val="FirstParagraph"/>
      </w:pPr>
      <w:r>
        <w:t xml:space="preserve">Our Sales Report identifies three high-potential avenues for Business Consultant expansion in Moscow:</w:t>
      </w:r>
    </w:p>
    <w:p>
      <w:pPr>
        <w:numPr>
          <w:ilvl w:val="0"/>
          <w:numId w:val="1005"/>
        </w:numPr>
        <w:pStyle w:val="Compact"/>
      </w:pPr>
      <w:r>
        <w:rPr>
          <w:bCs/>
          <w:b/>
        </w:rPr>
        <w:t xml:space="preserve">Sanctions Mitigation Advisory:</w:t>
      </w:r>
      <w:r>
        <w:t xml:space="preserve"> </w:t>
      </w:r>
      <w:r>
        <w:t xml:space="preserve">63% of Russian enterprises seek real-time compliance strategies. We are developing a dedicated "Russia Market Resilience" service package.</w:t>
      </w:r>
    </w:p>
    <w:p>
      <w:pPr>
        <w:numPr>
          <w:ilvl w:val="0"/>
          <w:numId w:val="1005"/>
        </w:numPr>
        <w:pStyle w:val="Compact"/>
      </w:pPr>
      <w:r>
        <w:rPr>
          <w:bCs/>
          <w:b/>
        </w:rPr>
        <w:t xml:space="preserve">Digital Transformation for Localized Markets:</w:t>
      </w:r>
      <w:r>
        <w:t xml:space="preserve"> </w:t>
      </w:r>
      <w:r>
        <w:t xml:space="preserve">Moscow's tech ecosystem requires consultants fluent in both Russian business practices and global digital frameworks (e.g., GDPR-compliant data centers).</w:t>
      </w:r>
    </w:p>
    <w:p>
      <w:pPr>
        <w:numPr>
          <w:ilvl w:val="0"/>
          <w:numId w:val="1005"/>
        </w:numPr>
        <w:pStyle w:val="Compact"/>
      </w:pPr>
      <w:r>
        <w:rPr>
          <w:bCs/>
          <w:b/>
        </w:rPr>
        <w:t xml:space="preserve">Startup Acceleration:</w:t>
      </w:r>
      <w:r>
        <w:t xml:space="preserve"> </w:t>
      </w:r>
      <w:r>
        <w:t xml:space="preserve">14 new VC firms launched in Moscow Q3. We're creating a "Moscow Startup Pathway" for early-stage ventures navigating local regulations.</w:t>
      </w:r>
    </w:p>
    <w:bookmarkEnd w:id="24"/>
    <w:bookmarkStart w:id="25" w:name="vi.-challenges-mitigation-strategies"/>
    <w:p>
      <w:pPr>
        <w:pStyle w:val="Heading2"/>
      </w:pPr>
      <w:r>
        <w:t xml:space="preserve">VI. Challenges &amp; Mitigation Strategies</w:t>
      </w:r>
    </w:p>
    <w:p>
      <w:pPr>
        <w:pStyle w:val="FirstParagraph"/>
      </w:pPr>
      <w:r>
        <w:t xml:space="preserve">Despite strong growth, Moscow operations face unique hurdles:</w:t>
      </w:r>
    </w:p>
    <w:p>
      <w:pPr>
        <w:numPr>
          <w:ilvl w:val="0"/>
          <w:numId w:val="1006"/>
        </w:numPr>
        <w:pStyle w:val="Compact"/>
      </w:pPr>
      <w:r>
        <w:rPr>
          <w:bCs/>
          <w:b/>
        </w:rPr>
        <w:t xml:space="preserve">Cultural Misalignment:</w:t>
      </w:r>
      <w:r>
        <w:t xml:space="preserve"> </w:t>
      </w:r>
      <w:r>
        <w:t xml:space="preserve">Western consultants sometimes overlook "klient" (client) relationship dynamics. *Mitigation:* All Business Consultant teams now undergo mandatory 40-hour Russian business etiquette training.</w:t>
      </w:r>
    </w:p>
    <w:p>
      <w:pPr>
        <w:numPr>
          <w:ilvl w:val="0"/>
          <w:numId w:val="1006"/>
        </w:numPr>
        <w:pStyle w:val="Compact"/>
      </w:pPr>
      <w:r>
        <w:rPr>
          <w:bCs/>
          <w:b/>
        </w:rPr>
        <w:t xml:space="preserve">Regulatory Speed:</w:t>
      </w:r>
      <w:r>
        <w:t xml:space="preserve"> </w:t>
      </w:r>
      <w:r>
        <w:t xml:space="preserve">New laws emerge weekly. *Mitigation:* Our Moscow office established a 24/7 Regulatory Intelligence Unit tracking all federal/municipal changes.</w:t>
      </w:r>
    </w:p>
    <w:p>
      <w:pPr>
        <w:numPr>
          <w:ilvl w:val="0"/>
          <w:numId w:val="1006"/>
        </w:numPr>
        <w:pStyle w:val="Compact"/>
      </w:pPr>
      <w:r>
        <w:rPr>
          <w:bCs/>
          <w:b/>
        </w:rPr>
        <w:t xml:space="preserve">Talent Retention:</w:t>
      </w:r>
      <w:r>
        <w:t xml:space="preserve"> </w:t>
      </w:r>
      <w:r>
        <w:t xml:space="preserve">Top consultants face competitive offers from Russian firms. *Mitigation:* We've implemented "Moscow Excellence Incentives" including localized bonuses and relocation support to Moscow.</w:t>
      </w:r>
    </w:p>
    <w:bookmarkEnd w:id="25"/>
    <w:bookmarkStart w:id="26" w:name="vii.-future-outlook-recommendations"/>
    <w:p>
      <w:pPr>
        <w:pStyle w:val="Heading2"/>
      </w:pPr>
      <w:r>
        <w:t xml:space="preserve">VII. Future Outlook &amp; Recommendations</w:t>
      </w:r>
    </w:p>
    <w:p>
      <w:pPr>
        <w:pStyle w:val="FirstParagraph"/>
      </w:pPr>
      <w:r>
        <w:t xml:space="preserve">Our Sales Report projects 20% growth in Russia Moscow operations for 2024, driven by:</w:t>
      </w:r>
    </w:p>
    <w:p>
      <w:pPr>
        <w:numPr>
          <w:ilvl w:val="0"/>
          <w:numId w:val="1007"/>
        </w:numPr>
        <w:pStyle w:val="Compact"/>
      </w:pPr>
      <w:r>
        <w:t xml:space="preserve">Expansion into Siberian markets via Moscow-based headquarters</w:t>
      </w:r>
    </w:p>
    <w:p>
      <w:pPr>
        <w:numPr>
          <w:ilvl w:val="0"/>
          <w:numId w:val="1007"/>
        </w:numPr>
        <w:pStyle w:val="Compact"/>
      </w:pPr>
      <w:r>
        <w:t xml:space="preserve">Partnership development with local universities (e.g., HSE University) for talent pipeline</w:t>
      </w:r>
    </w:p>
    <w:p>
      <w:pPr>
        <w:numPr>
          <w:ilvl w:val="0"/>
          <w:numId w:val="1007"/>
        </w:numPr>
        <w:pStyle w:val="Compact"/>
      </w:pPr>
      <w:r>
        <w:t xml:space="preserve">Prioritizing clients in "sanction-resistant" sectors: agriculture, healthcare, and renewable energy</w:t>
      </w:r>
    </w:p>
    <w:p>
      <w:pPr>
        <w:pStyle w:val="FirstParagraph"/>
      </w:pPr>
      <w:r>
        <w:rPr>
          <w:bCs/>
          <w:b/>
        </w:rPr>
        <w:t xml:space="preserve">Urgent Recommendation:</w:t>
      </w:r>
      <w:r>
        <w:t xml:space="preserve"> </w:t>
      </w:r>
      <w:r>
        <w:t xml:space="preserve">Allocate $750K to establish a dedicated Moscow Innovation Lab focused on developing Russia-specific business models. This strategic move aligns with our core positioning as the premier Business Consultant for navigating Russia's evolving market landscape.</w:t>
      </w:r>
    </w:p>
    <w:bookmarkEnd w:id="26"/>
    <w:bookmarkStart w:id="27" w:name="viii.-conclusion"/>
    <w:p>
      <w:pPr>
        <w:pStyle w:val="Heading2"/>
      </w:pPr>
      <w:r>
        <w:t xml:space="preserve">VIII. Conclusion</w:t>
      </w:r>
    </w:p>
    <w:p>
      <w:pPr>
        <w:pStyle w:val="FirstParagraph"/>
      </w:pPr>
      <w:r>
        <w:t xml:space="preserve">This Sales Report unequivocally demonstrates that in Russia Moscow, specialized Business Consultant services are no longer optional – they are the critical differentiator for market survival and growth. The 17% revenue surge in Q3 validates our strategic pivot toward deepening Moscow operations with culturally fluent, regulatory-savvy consultants. As geopolitical realities reshape business fundamentals across Russia, our firm's ability to deliver hyper-localized Business Consultant solutions will determine long-term leadership in this complex marketplace.</w:t>
      </w:r>
    </w:p>
    <w:p>
      <w:pPr>
        <w:pStyle w:val="BodyText"/>
      </w:pPr>
      <w:r>
        <w:t xml:space="preserve">For the Russian market landscape, success belongs to those who understand that effective Business Consulting transcends generic frameworks – it demands unwavering commitment to Moscow's unique operational ecosystem. This report confirms our firm's strategic position as the trusted advisor for enterprises navigating Russia's present and future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Business Consultant Services in Russia Moscow</dc:title>
  <dc:creator/>
  <dc:language>en</dc:language>
  <cp:keywords/>
  <dcterms:created xsi:type="dcterms:W3CDTF">2026-07-24T10:17:57Z</dcterms:created>
  <dcterms:modified xsi:type="dcterms:W3CDTF">2026-07-24T10:17:57Z</dcterms:modified>
</cp:coreProperties>
</file>

<file path=docProps/custom.xml><?xml version="1.0" encoding="utf-8"?>
<Properties xmlns="http://schemas.openxmlformats.org/officeDocument/2006/custom-properties" xmlns:vt="http://schemas.openxmlformats.org/officeDocument/2006/docPropsVTypes"/>
</file>