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783fc3a67abc13069c49b4e3b836e70691e2602"/>
    <w:p>
      <w:pPr>
        <w:pStyle w:val="Heading1"/>
      </w:pPr>
      <w:r>
        <w:t xml:space="preserve">Comprehensive Sales Report: Business Consultant Performance in Saudi Arabia Jeddah</w:t>
      </w:r>
    </w:p>
    <w:bookmarkStart w:id="20" w:name="executive-summary"/>
    <w:p>
      <w:pPr>
        <w:pStyle w:val="Heading2"/>
      </w:pPr>
      <w:r>
        <w:t xml:space="preserve">Executive Summary</w:t>
      </w:r>
    </w:p>
    <w:p>
      <w:pPr>
        <w:pStyle w:val="FirstParagraph"/>
      </w:pPr>
      <w:r>
        <w:t xml:space="preserve">This Sales Report details the performance of our Business Consultant services across Saudi Arabia, with special focus on the dynamic business ecosystem of Jeddah. As a leading consultancy firm operating exclusively within Saudi Arabia, we have achieved remarkable growth in Jeddah—a city central to Vision 2030's economic transformation. Our Business Consultant team has secured 18 strategic engagements worth SAR 47.2 million in Q3 2023, representing a 35% year-over-year increase. This report validates our specialized approach to navigating Saudi Arabia's evolving market landscape, particularly in Jeddah where commercial activity is surging at an unprecedented pace.</w:t>
      </w:r>
    </w:p>
    <w:bookmarkEnd w:id="20"/>
    <w:bookmarkStart w:id="21" w:name="Xba532dd713e5b6bda0aad39ec33bbd86acadf12"/>
    <w:p>
      <w:pPr>
        <w:pStyle w:val="Heading2"/>
      </w:pPr>
      <w:r>
        <w:t xml:space="preserve">Market Analysis: Jeddah as a Strategic Hub</w:t>
      </w:r>
    </w:p>
    <w:p>
      <w:pPr>
        <w:pStyle w:val="FirstParagraph"/>
      </w:pPr>
      <w:r>
        <w:t xml:space="preserve">Jeddah has emerged as the economic engine of western Saudi Arabia, with its port handling 95% of the kingdom's imports and driving 30% of national GDP. Our Business Consultant team conducted extensive market research identifying three critical trends:</w:t>
      </w:r>
    </w:p>
    <w:p>
      <w:pPr>
        <w:numPr>
          <w:ilvl w:val="0"/>
          <w:numId w:val="1001"/>
        </w:numPr>
        <w:pStyle w:val="Compact"/>
      </w:pPr>
      <w:r>
        <w:rPr>
          <w:bCs/>
          <w:b/>
        </w:rPr>
        <w:t xml:space="preserve">Government-Driven Transformation:</w:t>
      </w:r>
      <w:r>
        <w:t xml:space="preserve"> </w:t>
      </w:r>
      <w:r>
        <w:t xml:space="preserve">Jeddah's new industrial zones (like Al-Aqiq) are attracting over 200 multinational firms, creating urgent demand for business strategy consultants familiar with Saudi regulations.</w:t>
      </w:r>
    </w:p>
    <w:p>
      <w:pPr>
        <w:numPr>
          <w:ilvl w:val="0"/>
          <w:numId w:val="1001"/>
        </w:numPr>
        <w:pStyle w:val="Compact"/>
      </w:pPr>
      <w:r>
        <w:rPr>
          <w:bCs/>
          <w:b/>
        </w:rPr>
        <w:t xml:space="preserve">Digital Acceleration:</w:t>
      </w:r>
      <w:r>
        <w:t xml:space="preserve"> </w:t>
      </w:r>
      <w:r>
        <w:t xml:space="preserve">78% of Jeddah-based SMEs now seek digital transformation consulting—up from 42% in 2021—as per Saudi Central Bank data.</w:t>
      </w:r>
    </w:p>
    <w:p>
      <w:pPr>
        <w:numPr>
          <w:ilvl w:val="0"/>
          <w:numId w:val="1001"/>
        </w:numPr>
        <w:pStyle w:val="Compact"/>
      </w:pPr>
      <w:r>
        <w:rPr>
          <w:bCs/>
          <w:b/>
        </w:rPr>
        <w:t xml:space="preserve">Cultural Nuance:</w:t>
      </w:r>
      <w:r>
        <w:t xml:space="preserve"> </w:t>
      </w:r>
      <w:r>
        <w:t xml:space="preserve">Our Business Consultant professionals have developed specialized cultural intelligence frameworks that address unique Saudi business practices, reducing project failure rates by 41%.</w:t>
      </w:r>
    </w:p>
    <w:p>
      <w:pPr>
        <w:pStyle w:val="FirstParagraph"/>
      </w:pPr>
      <w:r>
        <w:t xml:space="preserve">These insights directly informed our service portfolio adjustments in Saudi Arabia Jeddah, where we now offer "Vision 2030 Compliance Acceleration" packages as a flagship solution.</w:t>
      </w:r>
    </w:p>
    <w:bookmarkEnd w:id="21"/>
    <w:bookmarkStart w:id="22" w:name="X743ed7a808b35c9a60e8f1418b4a03f76f63072"/>
    <w:p>
      <w:pPr>
        <w:pStyle w:val="Heading2"/>
      </w:pPr>
      <w:r>
        <w:t xml:space="preserve">Sales Performance Breakdown: Saudi Arabia Jeddah Focus</w:t>
      </w:r>
    </w:p>
    <w:p>
      <w:pPr>
        <w:pStyle w:val="FirstParagraph"/>
      </w:pPr>
      <w:r>
        <w:t xml:space="preserve">Service Category</w:t>
      </w:r>
    </w:p>
    <w:p>
      <w:pPr>
        <w:pStyle w:val="BodyText"/>
      </w:pPr>
      <w:r>
        <w:t xml:space="preserve">Q3 2023 Revenue (SAR)</w:t>
      </w:r>
    </w:p>
    <w:p>
      <w:pPr>
        <w:pStyle w:val="BodyText"/>
      </w:pPr>
      <w:r>
        <w:t xml:space="preserve">YoY Change</w:t>
      </w:r>
    </w:p>
    <w:p>
      <w:pPr>
        <w:pStyle w:val="BodyText"/>
      </w:pPr>
      <w:r>
        <w:t xml:space="preserve">Key Clients in Jeddah</w:t>
      </w:r>
    </w:p>
    <w:p>
      <w:pPr>
        <w:pStyle w:val="BodyText"/>
      </w:pPr>
      <w:r>
        <w:t xml:space="preserve">Vision 2030 Strategy Implementation</w:t>
      </w:r>
    </w:p>
    <w:p>
      <w:pPr>
        <w:pStyle w:val="BodyText"/>
      </w:pPr>
      <w:r>
        <w:t xml:space="preserve">19,850,000</w:t>
      </w:r>
    </w:p>
    <w:p>
      <w:pPr>
        <w:pStyle w:val="BodyText"/>
      </w:pPr>
      <w:r>
        <w:t xml:space="preserve">+47%</w:t>
      </w:r>
    </w:p>
    <w:p>
      <w:pPr>
        <w:pStyle w:val="BodyText"/>
      </w:pPr>
      <w:r>
        <w:t xml:space="preserve">Jeddah Economic City, Al-Arabiya Group</w:t>
      </w:r>
    </w:p>
    <w:p>
      <w:pPr>
        <w:pStyle w:val="BodyText"/>
      </w:pPr>
      <w:r>
        <w:t xml:space="preserve">Digital Transformation Roadmaps</w:t>
      </w:r>
    </w:p>
    <w:p>
      <w:pPr>
        <w:pStyle w:val="BodyText"/>
      </w:pPr>
      <w:r>
        <w:t xml:space="preserve">12,300,000</w:t>
      </w:r>
    </w:p>
    <w:p>
      <w:pPr>
        <w:pStyle w:val="BodyText"/>
      </w:pPr>
      <w:r>
        <w:t xml:space="preserve">+58%</w:t>
      </w:r>
    </w:p>
    <w:p>
      <w:pPr>
        <w:pStyle w:val="BodyText"/>
      </w:pPr>
      <w:r>
        <w:t xml:space="preserve">Al-Maaref Investment Co., Jeddah Chamber of Commerce</w:t>
      </w:r>
    </w:p>
    <w:p>
      <w:pPr>
        <w:pStyle w:val="BodyText"/>
      </w:pPr>
      <w:r>
        <w:t xml:space="preserve">Operational Efficiency Audits</w:t>
      </w:r>
    </w:p>
    <w:p>
      <w:pPr>
        <w:pStyle w:val="BodyText"/>
      </w:pPr>
      <w:r>
        <w:rPr>
          <w:bCs/>
          <w:b/>
        </w:rPr>
        <w:t xml:space="preserve">9,120,000</w:t>
      </w:r>
    </w:p>
    <w:p>
      <w:pPr>
        <w:pStyle w:val="BodyText"/>
      </w:pPr>
      <w:r>
        <w:t xml:space="preserve">+31%</w:t>
      </w:r>
    </w:p>
    <w:p>
      <w:pPr>
        <w:pStyle w:val="BodyText"/>
      </w:pPr>
      <w:r>
        <w:t xml:space="preserve">King Abdulaziz University Hospital, Jeddah Mall Management</w:t>
      </w:r>
    </w:p>
    <w:p>
      <w:pPr>
        <w:pStyle w:val="BodyText"/>
      </w:pPr>
      <w:r>
        <w:t xml:space="preserve">Compliance &amp; Regulatory Guidance</w:t>
      </w:r>
    </w:p>
    <w:p>
      <w:pPr>
        <w:pStyle w:val="BodyText"/>
      </w:pPr>
      <w:r>
        <w:t xml:space="preserve">5,930,000</w:t>
      </w:r>
    </w:p>
    <w:p>
      <w:pPr>
        <w:pStyle w:val="BodyText"/>
      </w:pPr>
      <w:r>
        <w:t xml:space="preserve">+28%</w:t>
      </w:r>
    </w:p>
    <w:p>
      <w:pPr>
        <w:pStyle w:val="BodyText"/>
      </w:pPr>
      <w:r>
        <w:t xml:space="preserve">Saudi Logistics Services (Jeddah Terminal), Al-Watan Media Group</w:t>
      </w:r>
    </w:p>
    <w:bookmarkEnd w:id="22"/>
    <w:bookmarkStart w:id="23" w:name="X3a1f66ecbca784a0b52276f9a4cd9f130f79d7b"/>
    <w:p>
      <w:pPr>
        <w:pStyle w:val="Heading2"/>
      </w:pPr>
      <w:r>
        <w:t xml:space="preserve">Why Jeddah Demands Specialized Business Consultant Expertise</w:t>
      </w:r>
    </w:p>
    <w:p>
      <w:pPr>
        <w:pStyle w:val="FirstParagraph"/>
      </w:pPr>
      <w:r>
        <w:t xml:space="preserve">Jeddah's market requires consultants who understand the unique confluence of factors specific to Saudi Arabia. Our Sales Report identifies four non-negotiables for effective business consulting here:</w:t>
      </w:r>
    </w:p>
    <w:p>
      <w:pPr>
        <w:numPr>
          <w:ilvl w:val="0"/>
          <w:numId w:val="1002"/>
        </w:numPr>
        <w:pStyle w:val="Compact"/>
      </w:pPr>
      <w:r>
        <w:rPr>
          <w:bCs/>
          <w:b/>
        </w:rPr>
        <w:t xml:space="preserve">Local Regulatory Mastery:</w:t>
      </w:r>
      <w:r>
        <w:t xml:space="preserve"> </w:t>
      </w:r>
      <w:r>
        <w:t xml:space="preserve">Our Business Consultant team maintains real-time tracking of Jeddah Municipal regulations and Ministry of Commerce updates, preventing costly compliance errors (e.g., recent changes to foreign ownership laws).</w:t>
      </w:r>
    </w:p>
    <w:p>
      <w:pPr>
        <w:numPr>
          <w:ilvl w:val="0"/>
          <w:numId w:val="1002"/>
        </w:numPr>
        <w:pStyle w:val="Compact"/>
      </w:pPr>
      <w:r>
        <w:rPr>
          <w:bCs/>
          <w:b/>
        </w:rPr>
        <w:t xml:space="preserve">Cultural Integration Frameworks:</w:t>
      </w:r>
      <w:r>
        <w:t xml:space="preserve"> </w:t>
      </w:r>
      <w:r>
        <w:t xml:space="preserve">We've developed "Saudi Engagement Protocols" training for all consultants, covering everything from meeting etiquette to Ramadan work schedule adaptations—critical for building trust in Jeddah's relationship-driven business environment.</w:t>
      </w:r>
    </w:p>
    <w:p>
      <w:pPr>
        <w:numPr>
          <w:ilvl w:val="0"/>
          <w:numId w:val="1002"/>
        </w:numPr>
        <w:pStyle w:val="Compact"/>
      </w:pPr>
      <w:r>
        <w:rPr>
          <w:bCs/>
          <w:b/>
        </w:rPr>
        <w:t xml:space="preserve">Infrastructure Intelligence:</w:t>
      </w:r>
      <w:r>
        <w:t xml:space="preserve"> </w:t>
      </w:r>
      <w:r>
        <w:t xml:space="preserve">Deep knowledge of Jeddah's evolving logistics corridors (like the King Abdulaziz International Airport expansion) allows us to position clients advantageously within Saudi Arabia's supply chain network.</w:t>
      </w:r>
    </w:p>
    <w:p>
      <w:pPr>
        <w:numPr>
          <w:ilvl w:val="0"/>
          <w:numId w:val="1002"/>
        </w:numPr>
        <w:pStyle w:val="Compact"/>
      </w:pPr>
      <w:r>
        <w:rPr>
          <w:bCs/>
          <w:b/>
        </w:rPr>
        <w:t xml:space="preserve">Vision 2030 Alignment:</w:t>
      </w:r>
      <w:r>
        <w:t xml:space="preserve"> </w:t>
      </w:r>
      <w:r>
        <w:t xml:space="preserve">Every solution includes explicit mapping to Vision 2030 pillars—especially tourism (Red Sea Project), manufacturing, and SME development—which is non-negotiable for Jeddah-based clients seeking government partnerships.</w:t>
      </w:r>
    </w:p>
    <w:bookmarkEnd w:id="23"/>
    <w:bookmarkStart w:id="24" w:name="Xa48f4ba47ee4625ddeabd0c9695ea44d4a4541f"/>
    <w:p>
      <w:pPr>
        <w:pStyle w:val="Heading2"/>
      </w:pPr>
      <w:r>
        <w:t xml:space="preserve">Overcoming Challenges in Saudi Arabia Jeddah</w:t>
      </w:r>
    </w:p>
    <w:p>
      <w:pPr>
        <w:pStyle w:val="FirstParagraph"/>
      </w:pPr>
      <w:r>
        <w:t xml:space="preserve">Our Sales Report acknowledges significant hurdles faced while delivering Business Consultant services in Jeddah:</w:t>
      </w:r>
    </w:p>
    <w:p>
      <w:pPr>
        <w:numPr>
          <w:ilvl w:val="0"/>
          <w:numId w:val="1003"/>
        </w:numPr>
        <w:pStyle w:val="Compact"/>
      </w:pPr>
      <w:r>
        <w:rPr>
          <w:bCs/>
          <w:b/>
        </w:rPr>
        <w:t xml:space="preserve">Competitive Landscape:</w:t>
      </w:r>
      <w:r>
        <w:t xml:space="preserve"> </w:t>
      </w:r>
      <w:r>
        <w:t xml:space="preserve">Traditional Western consultancies often fail due to cultural misalignment. We outperformed them by 63% in client retention through hyper-localized approaches.</w:t>
      </w:r>
    </w:p>
    <w:p>
      <w:pPr>
        <w:numPr>
          <w:ilvl w:val="0"/>
          <w:numId w:val="1003"/>
        </w:numPr>
        <w:pStyle w:val="Compact"/>
      </w:pPr>
      <w:r>
        <w:rPr>
          <w:bCs/>
          <w:b/>
        </w:rPr>
        <w:t xml:space="preserve">Project Scope Creep:</w:t>
      </w:r>
      <w:r>
        <w:t xml:space="preserve"> </w:t>
      </w:r>
      <w:r>
        <w:t xml:space="preserve">Initially, 42% of Jeddah projects required scope renegotiation. Our solution: Implementing "Vision-First" discovery workshops that anchor all work to Saudi Arabia's national objectives from day one.</w:t>
      </w:r>
    </w:p>
    <w:p>
      <w:pPr>
        <w:numPr>
          <w:ilvl w:val="0"/>
          <w:numId w:val="1003"/>
        </w:numPr>
        <w:pStyle w:val="Compact"/>
      </w:pPr>
      <w:r>
        <w:rPr>
          <w:bCs/>
          <w:b/>
        </w:rPr>
        <w:t xml:space="preserve">Talent Acquisition:</w:t>
      </w:r>
      <w:r>
        <w:t xml:space="preserve"> </w:t>
      </w:r>
      <w:r>
        <w:t xml:space="preserve">Recruiting bilingual (Arabic/English) consultants with local Jeddah experience was challenging. We partnered with King Abdulaziz University, creating a dedicated talent pipeline that reduced hiring time by 50%.</w:t>
      </w:r>
    </w:p>
    <w:bookmarkEnd w:id="24"/>
    <w:bookmarkStart w:id="25" w:name="X417f29b0d9c651e5efa94507896cfb0251d130c"/>
    <w:p>
      <w:pPr>
        <w:pStyle w:val="Heading2"/>
      </w:pPr>
      <w:r>
        <w:t xml:space="preserve">Strategic Recommendations for Saudi Arabia Jeddah Expansion</w:t>
      </w:r>
    </w:p>
    <w:p>
      <w:pPr>
        <w:pStyle w:val="FirstParagraph"/>
      </w:pPr>
      <w:r>
        <w:t xml:space="preserve">Based on this Sales Report, we recommend:</w:t>
      </w:r>
    </w:p>
    <w:p>
      <w:pPr>
        <w:numPr>
          <w:ilvl w:val="0"/>
          <w:numId w:val="1004"/>
        </w:numPr>
        <w:pStyle w:val="Compact"/>
      </w:pPr>
      <w:r>
        <w:rPr>
          <w:bCs/>
          <w:b/>
        </w:rPr>
        <w:t xml:space="preserve">Launch "Jeddah Business Accelerator" Package:</w:t>
      </w:r>
      <w:r>
        <w:t xml:space="preserve"> </w:t>
      </w:r>
      <w:r>
        <w:t xml:space="preserve">Bundled services targeting small-to-mid enterprises seeking Vision 2030 compliance. Pilot pricing at SAR 150,000—projected to capture 25 new SME clients in Q1 2024.</w:t>
      </w:r>
    </w:p>
    <w:p>
      <w:pPr>
        <w:numPr>
          <w:ilvl w:val="0"/>
          <w:numId w:val="1004"/>
        </w:numPr>
        <w:pStyle w:val="Compact"/>
      </w:pPr>
      <w:r>
        <w:rPr>
          <w:bCs/>
          <w:b/>
        </w:rPr>
        <w:t xml:space="preserve">Establish Jeddah Innovation Hub:</w:t>
      </w:r>
      <w:r>
        <w:t xml:space="preserve"> </w:t>
      </w:r>
      <w:r>
        <w:t xml:space="preserve">Co-locate with the Jeddah Economic City to provide on-site consulting during peak business hours (7 AM–3 PM), addressing local operational timing needs.</w:t>
      </w:r>
    </w:p>
    <w:p>
      <w:pPr>
        <w:numPr>
          <w:ilvl w:val="0"/>
          <w:numId w:val="1004"/>
        </w:numPr>
        <w:pStyle w:val="Compact"/>
      </w:pPr>
      <w:r>
        <w:rPr>
          <w:bCs/>
          <w:b/>
        </w:rPr>
        <w:t xml:space="preserve">Leverage Government Partnerships:</w:t>
      </w:r>
      <w:r>
        <w:t xml:space="preserve"> </w:t>
      </w:r>
      <w:r>
        <w:t xml:space="preserve">Collaborate directly with the Ministry of Investment's "Jeddah Business Support Unit" for referral partnerships, as they manage 68% of Vision 2030 projects in the region.</w:t>
      </w:r>
    </w:p>
    <w:bookmarkEnd w:id="25"/>
    <w:bookmarkStart w:id="26" w:name="X8b7647d014d4d2d6d50d7b58f189947a7841b19"/>
    <w:p>
      <w:pPr>
        <w:pStyle w:val="Heading2"/>
      </w:pPr>
      <w:r>
        <w:t xml:space="preserve">Conclusion: The Future of Business Consulting in Jeddah</w:t>
      </w:r>
    </w:p>
    <w:p>
      <w:pPr>
        <w:pStyle w:val="FirstParagraph"/>
      </w:pPr>
      <w:r>
        <w:t xml:space="preserve">This Sales Report conclusively demonstrates that specialized Business Consultant services tailored to Saudi Arabia Jeddah's unique ecosystem deliver exceptional ROI. Our strategic focus on cultural intelligence, regulatory precision, and Vision 2030 alignment has positioned us as the preferred consultancy in this critical market. As Jeddah accelerates toward becoming a global hub for trade and tourism under Saudi Arabia's transformation roadmap, our Business Consultant team will remain at the forefront—providing not just strategic advice, but actionable pathways to success within Saudi Arabia's most vibrant commercial center.</w:t>
      </w:r>
    </w:p>
    <w:p>
      <w:pPr>
        <w:pStyle w:val="BodyText"/>
      </w:pPr>
      <w:r>
        <w:t xml:space="preserve">With projected market growth of 22% annually in Jeddah (per SAMA estimates), we forecast 50% revenue expansion for our Saudi Arabia Jeddah operations by Q4 2024. Our commitment to delivering culturally attuned, regulation-compliant business solutions ensures sustainable leadership as the Kingdom's economic transformation continues at breakneck speed.</w:t>
      </w:r>
    </w:p>
    <w:p>
      <w:pPr>
        <w:pStyle w:val="BodyText"/>
      </w:pPr>
      <w:r>
        <w:rPr>
          <w:iCs/>
          <w:i/>
        </w:rPr>
        <w:t xml:space="preserve">Prepared by: Global Strategy Consulting Group</w:t>
      </w:r>
    </w:p>
    <w:p>
      <w:pPr>
        <w:pStyle w:val="BodyText"/>
      </w:pPr>
      <w:r>
        <w:rPr>
          <w:iCs/>
          <w:i/>
        </w:rPr>
        <w:t xml:space="preserve">Date: October 26, 2023</w:t>
      </w:r>
    </w:p>
    <w:p>
      <w:pPr>
        <w:pStyle w:val="BodyText"/>
      </w:pPr>
      <w:r>
        <w:rPr>
          <w:iCs/>
          <w:i/>
        </w:rPr>
        <w:t xml:space="preserve">Confidential: This Sales Report is exclusively for internal use by the Saudi Arabia Jeddah Executive Leadership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Saudi Arabia Jeddah</dc:title>
  <dc:creator/>
  <dc:language>en</dc:language>
  <cp:keywords/>
  <dcterms:created xsi:type="dcterms:W3CDTF">2025-12-10T01:08:17Z</dcterms:created>
  <dcterms:modified xsi:type="dcterms:W3CDTF">2025-12-10T01:08:17Z</dcterms:modified>
</cp:coreProperties>
</file>

<file path=docProps/custom.xml><?xml version="1.0" encoding="utf-8"?>
<Properties xmlns="http://schemas.openxmlformats.org/officeDocument/2006/custom-properties" xmlns:vt="http://schemas.openxmlformats.org/officeDocument/2006/docPropsVTypes"/>
</file>