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Business</w:t>
      </w:r>
      <w:r>
        <w:t xml:space="preserve"> </w:t>
      </w:r>
      <w:r>
        <w:t xml:space="preserve">Consultant</w:t>
      </w:r>
      <w:r>
        <w:t xml:space="preserve"> </w:t>
      </w:r>
      <w:r>
        <w:t xml:space="preserve">Sales</w:t>
      </w:r>
      <w:r>
        <w:t xml:space="preserve"> </w:t>
      </w:r>
      <w:r>
        <w:t xml:space="preserve">Report</w:t>
      </w:r>
    </w:p>
    <w:bookmarkStart w:id="27" w:name="X28f01e330f20bdf0fab65035d9bd98892c2c37c"/>
    <w:p>
      <w:pPr>
        <w:pStyle w:val="Heading1"/>
      </w:pPr>
      <w:r>
        <w:t xml:space="preserve">Q3 2024 Thailand Bangkok Business Consultant Sales Report</w:t>
      </w:r>
    </w:p>
    <w:bookmarkStart w:id="20" w:name="executive-summary"/>
    <w:p>
      <w:pPr>
        <w:pStyle w:val="Heading2"/>
      </w:pPr>
      <w:r>
        <w:t xml:space="preserve">Executive Summary</w:t>
      </w:r>
    </w:p>
    <w:p>
      <w:pPr>
        <w:pStyle w:val="FirstParagraph"/>
      </w:pPr>
      <w:r>
        <w:t xml:space="preserve">This comprehensive Sales Report details the performance of our international Business Consultant services across Thailand Bangkok during the third quarter of 2024. As a leading global consultancy firm with deep regional expertise, we've achieved remarkable growth in Thailand's dynamic business landscape, securing 17 new enterprise contracts worth $4.8 million USD and maintaining a 92% client retention rate. This report demonstrates how our tailored Business Consultant approach has become instrumental in driving strategic transformation for multinational corporations and local Thai enterprises operating within Bangkok's competitive ecosystem.</w:t>
      </w:r>
    </w:p>
    <w:p>
      <w:pPr>
        <w:pStyle w:val="BodyText"/>
      </w:pPr>
      <w:r>
        <w:t xml:space="preserve">The success of this period underscores the critical importance of localized business intelligence combined with global best practices—a cornerstone of our Thailand Bangkok operations. With Bangkok serving as Southeast Asia's premier commercial hub, our Business Consultant team has successfully navigated cultural nuances, regulatory complexities, and market-specific challenges to deliver measurable ROI for clients across manufacturing, retail, and fintech sectors.</w:t>
      </w:r>
    </w:p>
    <w:bookmarkEnd w:id="20"/>
    <w:bookmarkStart w:id="21" w:name="Xddb9d6fa267a131829cebc2d3a188b34a2ab935"/>
    <w:p>
      <w:pPr>
        <w:pStyle w:val="Heading2"/>
      </w:pPr>
      <w:r>
        <w:t xml:space="preserve">Market Analysis: Thailand Bangkok Landscape</w:t>
      </w:r>
    </w:p>
    <w:p>
      <w:pPr>
        <w:pStyle w:val="FirstParagraph"/>
      </w:pPr>
      <w:r>
        <w:t xml:space="preserve">Thailand's economy continues its robust recovery in 2024, with Bangkok contributing 38% of the nation's GDP. The city remains a magnet for foreign direct investment (FDI), attracting $15.6 billion in Q3 alone according to the Board of Investment Thailand. This environment creates unprecedented demand for specialized Business Consultant services capable of addressing unique regional challenges.</w:t>
      </w:r>
    </w:p>
    <w:p>
      <w:pPr>
        <w:pStyle w:val="BodyText"/>
      </w:pPr>
      <w:r>
        <w:t xml:space="preserve">Our market intelligence reveals three critical trends shaping the need for our services:</w:t>
      </w:r>
    </w:p>
    <w:p>
      <w:pPr>
        <w:numPr>
          <w:ilvl w:val="0"/>
          <w:numId w:val="1001"/>
        </w:numPr>
        <w:pStyle w:val="Compact"/>
      </w:pPr>
      <w:r>
        <w:rPr>
          <w:bCs/>
          <w:b/>
        </w:rPr>
        <w:t xml:space="preserve">Post-Pandemic Digital Acceleration:</w:t>
      </w:r>
      <w:r>
        <w:t xml:space="preserve"> </w:t>
      </w:r>
      <w:r>
        <w:t xml:space="preserve">74% of Bangkok-based enterprises are prioritizing digital transformation, creating urgent demand for Business Consultant expertise in AI integration and e-commerce optimization.</w:t>
      </w:r>
    </w:p>
    <w:p>
      <w:pPr>
        <w:numPr>
          <w:ilvl w:val="0"/>
          <w:numId w:val="1001"/>
        </w:numPr>
        <w:pStyle w:val="Compact"/>
      </w:pPr>
      <w:r>
        <w:rPr>
          <w:bCs/>
          <w:b/>
        </w:rPr>
        <w:t xml:space="preserve">Supply Chain Reconfiguration:</w:t>
      </w:r>
      <w:r>
        <w:t xml:space="preserve"> </w:t>
      </w:r>
      <w:r>
        <w:t xml:space="preserve">With geopolitical tensions impacting ASEAN logistics, multinational firms seek local Business Consultant support to establish resilient supply networks centered in Thailand's manufacturing hubs.</w:t>
      </w:r>
    </w:p>
    <w:p>
      <w:pPr>
        <w:numPr>
          <w:ilvl w:val="0"/>
          <w:numId w:val="1001"/>
        </w:numPr>
        <w:pStyle w:val="Compact"/>
      </w:pPr>
      <w:r>
        <w:rPr>
          <w:bCs/>
          <w:b/>
        </w:rPr>
        <w:t xml:space="preserve">Thailand 4.0 Policy Alignment:</w:t>
      </w:r>
      <w:r>
        <w:t xml:space="preserve"> </w:t>
      </w:r>
      <w:r>
        <w:t xml:space="preserve">Government incentives for innovation require strategic alignment that our Business Consultant team specializes in facilitating for clients across Bangkok's tech parks like Bangna and Suvarnabhumi Airport areas.</w:t>
      </w:r>
    </w:p>
    <w:bookmarkEnd w:id="21"/>
    <w:bookmarkStart w:id="22" w:name="sales-performance-overview"/>
    <w:p>
      <w:pPr>
        <w:pStyle w:val="Heading2"/>
      </w:pPr>
      <w:r>
        <w:t xml:space="preserve">Sales Performance Overview</w:t>
      </w:r>
    </w:p>
    <w:p>
      <w:pPr>
        <w:pStyle w:val="FirstParagraph"/>
      </w:pPr>
      <w:r>
        <w:t xml:space="preserve">Our Q3 2024 sales metrics reflect exceptional growth in the Thailand Bangkok market:</w:t>
      </w:r>
    </w:p>
    <w:p>
      <w:pPr>
        <w:pStyle w:val="BodyText"/>
      </w:pPr>
      <w:r>
        <w:t xml:space="preserve">Key Metric</w:t>
      </w:r>
    </w:p>
    <w:bookmarkEnd w:id="22"/>
    <w:p>
      <w:pPr>
        <w:pStyle w:val="BodyText"/>
      </w:pPr>
      <w:r>
        <w:t xml:space="preserve">Q3 2024</w:t>
      </w:r>
    </w:p>
    <w:p>
      <w:pPr>
        <w:pStyle w:val="BodyText"/>
      </w:pPr>
      <w:r>
        <w:t xml:space="preserve">Q2 2024</w:t>
      </w:r>
    </w:p>
    <w:p>
      <w:pPr>
        <w:pStyle w:val="BodyText"/>
      </w:pPr>
      <w:r>
        <w:t xml:space="preserve">% Change</w:t>
      </w:r>
    </w:p>
    <w:p>
      <w:pPr>
        <w:pStyle w:val="BodyText"/>
      </w:pPr>
      <w:r>
        <w:t xml:space="preserve">New Enterprise Contracts (Bangkok)</w:t>
      </w:r>
    </w:p>
    <w:p>
      <w:pPr>
        <w:pStyle w:val="BodyText"/>
      </w:pPr>
      <w:r>
        <w:t xml:space="preserve">17</w:t>
      </w:r>
    </w:p>
    <w:p>
      <w:pPr>
        <w:pStyle w:val="BodyText"/>
      </w:pPr>
      <w:r>
        <w:t xml:space="preserve">12</w:t>
      </w:r>
    </w:p>
    <w:p>
      <w:pPr>
        <w:pStyle w:val="BodyText"/>
      </w:pPr>
      <w:r>
        <w:t xml:space="preserve">+41.7%</w:t>
      </w:r>
    </w:p>
    <w:p>
      <w:pPr>
        <w:pStyle w:val="BodyText"/>
      </w:pPr>
      <w:r>
        <w:t xml:space="preserve">Total Contract Value (USD)</w:t>
      </w:r>
    </w:p>
    <w:p>
      <w:pPr>
        <w:pStyle w:val="BodyText"/>
      </w:pPr>
      <w:r>
        <w:t xml:space="preserve">$4,825,000</w:t>
      </w:r>
    </w:p>
    <w:p>
      <w:pPr>
        <w:pStyle w:val="BodyText"/>
      </w:pPr>
      <w:r>
        <w:t xml:space="preserve">$3,678,500</w:t>
      </w:r>
    </w:p>
    <w:p>
      <w:pPr>
        <w:pStyle w:val="BodyText"/>
      </w:pPr>
      <w:r>
        <w:t xml:space="preserve">+31.2%</w:t>
      </w:r>
    </w:p>
    <w:p>
      <w:pPr>
        <w:pStyle w:val="BodyText"/>
      </w:pPr>
      <w:r>
        <w:t xml:space="preserve">Client Retention Rate</w:t>
      </w:r>
    </w:p>
    <w:p>
      <w:pPr>
        <w:pStyle w:val="BodyText"/>
      </w:pPr>
      <w:r>
        <w:t xml:space="preserve">92%</w:t>
      </w:r>
    </w:p>
    <w:p>
      <w:pPr>
        <w:pStyle w:val="BodyText"/>
      </w:pPr>
      <w:r>
        <w:t xml:space="preserve">&lt;</w:t>
      </w:r>
    </w:p>
    <w:p>
      <w:pPr>
        <w:pStyle w:val="BodyText"/>
      </w:pPr>
      <w:r>
        <w:t xml:space="preserve">87%</w:t>
      </w:r>
    </w:p>
    <w:p>
      <w:pPr>
        <w:pStyle w:val="BodyText"/>
      </w:pPr>
      <w:r>
        <w:t xml:space="preserve">+5.0 pts</w:t>
      </w:r>
    </w:p>
    <w:p>
      <w:pPr>
        <w:pStyle w:val="BodyText"/>
      </w:pPr>
      <w:r>
        <w:t xml:space="preserve">New Client Acquisition Cost (NACC)</w:t>
      </w:r>
    </w:p>
    <w:p>
      <w:pPr>
        <w:pStyle w:val="BodyText"/>
      </w:pPr>
      <w:r>
        <w:t xml:space="preserve">$38,200</w:t>
      </w:r>
    </w:p>
    <w:p>
      <w:pPr>
        <w:pStyle w:val="BodyText"/>
      </w:pPr>
      <w:r>
        <w:t xml:space="preserve">$47,500</w:t>
      </w:r>
    </w:p>
    <w:p>
      <w:pPr>
        <w:pStyle w:val="BodyText"/>
      </w:pPr>
      <w:r>
        <w:t xml:space="preserve">-19.6%</w:t>
      </w:r>
    </w:p>
    <w:p>
      <w:pPr>
        <w:pStyle w:val="BodyText"/>
      </w:pPr>
      <w:r>
        <w:t xml:space="preserve">Notably, 83% of new clients were secured through strategic partnerships with Bangkok-based entities including the Thai Chamber of Commerce and Bangkok Metropolitan Administration (BMA) initiatives. This localized partnership approach has proven critical in accessing Thailand's business network—demonstrating how our Business Consultant model leverages regional relationships for superior market penetration.</w:t>
      </w:r>
    </w:p>
    <w:bookmarkStart w:id="23" w:name="Xeb3a9bd76297d1c05f3a173be855156f78aad18"/>
    <w:p>
      <w:pPr>
        <w:pStyle w:val="Heading2"/>
      </w:pPr>
      <w:r>
        <w:t xml:space="preserve">Client Success Story: Manufacturing Sector Transformation</w:t>
      </w:r>
    </w:p>
    <w:p>
      <w:pPr>
        <w:pStyle w:val="FirstParagraph"/>
      </w:pPr>
      <w:r>
        <w:rPr>
          <w:bCs/>
          <w:b/>
        </w:rPr>
        <w:t xml:space="preserve">Client:</w:t>
      </w:r>
      <w:r>
        <w:t xml:space="preserve"> </w:t>
      </w:r>
      <w:r>
        <w:t xml:space="preserve">A multinational electronics manufacturer headquartered in Bangkok with 12,000 employees across Thailand</w:t>
      </w:r>
      <w:r>
        <w:br/>
      </w:r>
      <w:r>
        <w:rPr>
          <w:bCs/>
          <w:b/>
        </w:rPr>
        <w:t xml:space="preserve">Challenge:</w:t>
      </w:r>
      <w:r>
        <w:t xml:space="preserve"> </w:t>
      </w:r>
      <w:r>
        <w:t xml:space="preserve">Declining market share in Southeast Asia due to inefficient production workflows and supply chain disruptions after the 2023 port strikes.</w:t>
      </w:r>
      <w:r>
        <w:br/>
      </w:r>
      <w:r>
        <w:rPr>
          <w:bCs/>
          <w:b/>
        </w:rPr>
        <w:t xml:space="preserve">Solution:</w:t>
      </w:r>
      <w:r>
        <w:t xml:space="preserve"> </w:t>
      </w:r>
      <w:r>
        <w:t xml:space="preserve">Our Bangkok-based Business Consultant team implemented a three-phase strategy: (1) Digital twin simulation of factory operations, (2) Regional supplier network optimization across Thailand's Eastern Economic Corridor, (3) AI-driven demand forecasting integrated with Thai customs protocols.</w:t>
      </w:r>
      <w:r>
        <w:br/>
      </w:r>
      <w:r>
        <w:rPr>
          <w:bCs/>
          <w:b/>
        </w:rPr>
        <w:t xml:space="preserve">Results:</w:t>
      </w:r>
      <w:r>
        <w:t xml:space="preserve"> </w:t>
      </w:r>
      <w:r>
        <w:t xml:space="preserve">27% reduction in production lead time within 5 months; $1.8M annual supply chain savings; achieved ISO 9001 certification for new processes. The client expanded its Thailand operations by 25% and became a preferred supplier to four major global brands.</w:t>
      </w:r>
    </w:p>
    <w:p>
      <w:pPr>
        <w:pStyle w:val="BodyText"/>
      </w:pPr>
      <w:r>
        <w:t xml:space="preserve">This case exemplifies how our Thailand Bangkok Business Consultant services deliver measurable, culturally attuned solutions—not generic templates. As the client's VP of Operations stated: "Our Bangkok consultants understood local labor dynamics and government incentive programs in ways international firms couldn't replicate."</w:t>
      </w:r>
    </w:p>
    <w:bookmarkEnd w:id="23"/>
    <w:bookmarkStart w:id="24" w:name="challenges-strategic-adaptations"/>
    <w:p>
      <w:pPr>
        <w:pStyle w:val="Heading2"/>
      </w:pPr>
      <w:r>
        <w:t xml:space="preserve">Challenges &amp; Strategic Adaptations</w:t>
      </w:r>
    </w:p>
    <w:p>
      <w:pPr>
        <w:pStyle w:val="FirstParagraph"/>
      </w:pPr>
      <w:r>
        <w:t xml:space="preserve">The Thailand Bangkok market presented unique obstacles requiring specialized Business Consultant expertise:</w:t>
      </w:r>
    </w:p>
    <w:p>
      <w:pPr>
        <w:numPr>
          <w:ilvl w:val="0"/>
          <w:numId w:val="1002"/>
        </w:numPr>
        <w:pStyle w:val="Compact"/>
      </w:pPr>
      <w:r>
        <w:rPr>
          <w:bCs/>
          <w:b/>
        </w:rPr>
        <w:t xml:space="preserve">Cultural Nuances in Decision-Making:</w:t>
      </w:r>
      <w:r>
        <w:t xml:space="preserve"> </w:t>
      </w:r>
      <w:r>
        <w:t xml:space="preserve">Initial resistance from Thai executives accustomed to hierarchical processes. Our solution: Deployed senior consultants fluent in Thai business etiquette (including "sanuk" approach) who built trust through local networking events like the Bangkok International Business Forum.</w:t>
      </w:r>
    </w:p>
    <w:p>
      <w:pPr>
        <w:numPr>
          <w:ilvl w:val="0"/>
          <w:numId w:val="1002"/>
        </w:numPr>
        <w:pStyle w:val="Compact"/>
      </w:pPr>
      <w:r>
        <w:rPr>
          <w:bCs/>
          <w:b/>
        </w:rPr>
        <w:t xml:space="preserve">Regulatory Complexity:</w:t>
      </w:r>
      <w:r>
        <w:t xml:space="preserve"> </w:t>
      </w:r>
      <w:r>
        <w:t xml:space="preserve">Navigating Thailand's Foreign Business Act and Board of Investment incentives. Our response: Developed a dedicated Thailand Regulatory Navigator tool used by all our Bangkok consultants, reducing compliance risks by 63%.</w:t>
      </w:r>
    </w:p>
    <w:p>
      <w:pPr>
        <w:pStyle w:val="FirstParagraph"/>
      </w:pPr>
      <w:r>
        <w:t xml:space="preserve">These adaptations have positioned us as the only Business Consultant firm in Bangkok offering truly localized strategic services—blending global methodology with Thai operational realities.</w:t>
      </w:r>
    </w:p>
    <w:bookmarkEnd w:id="24"/>
    <w:bookmarkStart w:id="25" w:name="Xb43f62cf11fac647aefed56202f2cb46628d87e"/>
    <w:p>
      <w:pPr>
        <w:pStyle w:val="Heading2"/>
      </w:pPr>
      <w:r>
        <w:t xml:space="preserve">Future Growth Strategy: Thailand Bangkok Focus</w:t>
      </w:r>
    </w:p>
    <w:p>
      <w:pPr>
        <w:pStyle w:val="FirstParagraph"/>
      </w:pPr>
      <w:r>
        <w:t xml:space="preserve">Based on Q3 performance, we're implementing three targeted initiatives for the fourth quarter:</w:t>
      </w:r>
    </w:p>
    <w:p>
      <w:pPr>
        <w:numPr>
          <w:ilvl w:val="0"/>
          <w:numId w:val="1003"/>
        </w:numPr>
        <w:pStyle w:val="Compact"/>
      </w:pPr>
      <w:r>
        <w:rPr>
          <w:bCs/>
          <w:b/>
        </w:rPr>
        <w:t xml:space="preserve">Bangkok Innovation Hub Expansion:</w:t>
      </w:r>
      <w:r>
        <w:t xml:space="preserve"> </w:t>
      </w:r>
      <w:r>
        <w:t xml:space="preserve">Launching our second regional center in Sathorn district to serve clients across Greater Bangkok, with 30% capacity dedicated to SME support programs.</w:t>
      </w:r>
    </w:p>
    <w:p>
      <w:pPr>
        <w:numPr>
          <w:ilvl w:val="0"/>
          <w:numId w:val="1003"/>
        </w:numPr>
        <w:pStyle w:val="Compact"/>
      </w:pPr>
      <w:r>
        <w:rPr>
          <w:bCs/>
          <w:b/>
        </w:rPr>
        <w:t xml:space="preserve">Thailand-Specific Service Bundling:</w:t>
      </w:r>
      <w:r>
        <w:t xml:space="preserve"> </w:t>
      </w:r>
      <w:r>
        <w:t xml:space="preserve">Creating "Thailand 4.0 Ready" packages aligning with government incentives for digital transformation (e.g., AI adoption subsidies, tax breaks).</w:t>
      </w:r>
    </w:p>
    <w:p>
      <w:pPr>
        <w:pStyle w:val="FirstParagraph"/>
      </w:pPr>
      <w:r>
        <w:t xml:space="preserve">We project Q4 growth of 35% in Bangkok sales, driven by these initiatives and increased government partnerships. Our strategic focus on becoming Thailand's most trusted Business Consultant partner—rather than merely an external service provider—is proving essential in a market where cultural intelligence drives client retention.</w:t>
      </w:r>
    </w:p>
    <w:bookmarkEnd w:id="25"/>
    <w:bookmarkStart w:id="26" w:name="conclusion"/>
    <w:p>
      <w:pPr>
        <w:pStyle w:val="Heading2"/>
      </w:pPr>
      <w:r>
        <w:t xml:space="preserve">Conclusion</w:t>
      </w:r>
    </w:p>
    <w:p>
      <w:pPr>
        <w:pStyle w:val="FirstParagraph"/>
      </w:pPr>
      <w:r>
        <w:t xml:space="preserve">This Sales Report confirms that our Business Consultant services have become indispensable to Thailand Bangkok's corporate landscape. The 41.7% growth in new contracts, coupled with industry-leading client retention, demonstrates how deeply embedded we've become in the city's economic fabric. Our success stems from understanding that effective business consultancy in Thailand cannot be standardized—it requires embracing local context while delivering global excellence.</w:t>
      </w:r>
    </w:p>
    <w:p>
      <w:pPr>
        <w:pStyle w:val="BodyText"/>
      </w:pPr>
      <w:r>
        <w:t xml:space="preserve">As Bangkok accelerates toward becoming ASEAN's innovation capital (per World Bank projections), the demand for our specialized Business Consultant expertise will continue to rise. This Q3 performance isn't just a sales milestone—it's validation that our Thailand-focused approach is the benchmark for international business consultancy in Southeast Asia. We remain committed to delivering transformative results that empower Thai enterprises and solidify Bangkok's position as a global business powerhouse.</w:t>
      </w:r>
    </w:p>
    <w:p>
      <w:pPr>
        <w:pStyle w:val="BodyText"/>
      </w:pPr>
      <w:r>
        <w:rPr>
          <w:bCs/>
          <w:b/>
        </w:rPr>
        <w:t xml:space="preserve">Prepared by:</w:t>
      </w:r>
      <w:r>
        <w:t xml:space="preserve"> </w:t>
      </w:r>
      <w:r>
        <w:t xml:space="preserve">Global Business Insights Group</w:t>
      </w:r>
      <w:r>
        <w:br/>
      </w:r>
      <w:r>
        <w:rPr>
          <w:bCs/>
          <w:b/>
        </w:rPr>
        <w:t xml:space="preserve">Regional Head, Thailand Bangkok Operations</w:t>
      </w:r>
      <w:r>
        <w:br/>
      </w:r>
      <w:r>
        <w:rPr>
          <w:bCs/>
          <w:b/>
        </w:rPr>
        <w:t xml:space="preserve">Date:</w:t>
      </w:r>
      <w:r>
        <w:t xml:space="preserve"> </w:t>
      </w:r>
      <w:r>
        <w:t xml:space="preserve">October 26, 2024</w:t>
      </w:r>
    </w:p>
    <w:bookmarkEnd w:id="26"/>
    <w:p>
      <w:pPr>
        <w:pStyle w:val="BodyText"/>
      </w:pPr>
      <w:r>
        <w:t xml:space="preserve">This Sales Report is an official document of Global Business Insights Group. All rights reserved. For internal use only.</w:t>
      </w:r>
    </w:p>
    <w:p>
      <w:pPr>
        <w:pStyle w:val="BodyText"/>
      </w:pPr>
      <w:r>
        <w:t xml:space="preserve">Word Count: 928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Business Consultant Sales Report</dc:title>
  <dc:creator/>
  <dc:language>en</dc:language>
  <cp:keywords/>
  <dcterms:created xsi:type="dcterms:W3CDTF">2025-12-10T15:46:41Z</dcterms:created>
  <dcterms:modified xsi:type="dcterms:W3CDTF">2025-12-10T15:46:41Z</dcterms:modified>
</cp:coreProperties>
</file>

<file path=docProps/custom.xml><?xml version="1.0" encoding="utf-8"?>
<Properties xmlns="http://schemas.openxmlformats.org/officeDocument/2006/custom-properties" xmlns:vt="http://schemas.openxmlformats.org/officeDocument/2006/docPropsVTypes"/>
</file>