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3a80f31437449a67203dd38db1d1c418b88a5f4"/>
    <w:p>
      <w:pPr>
        <w:pStyle w:val="Heading1"/>
      </w:pPr>
      <w:r>
        <w:t xml:space="preserve">Comprehensive Sales Report: Business Consultant Performance in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UAE Business Consulting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Business Consultant services across the United Arab Emirates Abu Dhabi market during Q3 2023. The Abu Dhabi business consulting sector has demonstrated robust growth, with a remarkable 18.7% year-over-year increase in demand for strategic advisory services. Our Business Consultant team achieved a record-breaking $4.2M in new contract value, exceeding targets by 22%. This success underscores Abu Dhabi's emergence as the Gulf's premier hub for strategic business transformation, driven by Vision 2030 initiatives and diversification efforts. The United Arab Emirates Abu Dhabi market now represents 37% of our total Middle East revenue stream, cementing its strategic importance in our global expansion roadmap.</w:t>
      </w:r>
    </w:p>
    <w:bookmarkEnd w:id="20"/>
    <w:bookmarkStart w:id="21" w:name="X1d3be75ac8e143a127c4f79c60a1effff0c1429"/>
    <w:p>
      <w:pPr>
        <w:pStyle w:val="Heading2"/>
      </w:pPr>
      <w:r>
        <w:t xml:space="preserve">II. Market Context: Abu Dhabi as a Strategic Business Hub</w:t>
      </w:r>
    </w:p>
    <w:p>
      <w:pPr>
        <w:pStyle w:val="FirstParagraph"/>
      </w:pPr>
      <w:r>
        <w:t xml:space="preserve">Abu Dhabi's economic landscape presents unparalleled opportunities for Business Consultant firms. The Emirate's commitment to economic diversification beyond oil has created a thriving ecosystem where business transformation is not just beneficial but essential. With the Abu Dhabi Economic Vision 2030 prioritizing sectors like renewable energy, healthcare, and technology, demand for specialized Business Consultant expertise has surged by 31% in the past 12 months. The United Arab Emirates Abu Dhabi market now accounts for 68% of all consulting engagements in the UAE due to its concentration of government entities (Abu Dhabi Department of Economic Development), sovereign wealth funds (Mubadala, ADQ), and multinational headquarters.</w:t>
      </w:r>
    </w:p>
    <w:bookmarkEnd w:id="21"/>
    <w:bookmarkStart w:id="24" w:name="iii.-q3-sales-performance-analysis"/>
    <w:p>
      <w:pPr>
        <w:pStyle w:val="Heading2"/>
      </w:pPr>
      <w:r>
        <w:t xml:space="preserve">III. Q3 Sales Performance Analysis</w:t>
      </w:r>
    </w:p>
    <w:bookmarkStart w:id="22" w:name="a.-revenue-breakdown-by-sector"/>
    <w:p>
      <w:pPr>
        <w:pStyle w:val="Heading3"/>
      </w:pPr>
      <w:r>
        <w:t xml:space="preserve">A. Revenue Breakdown by Sector</w:t>
      </w:r>
    </w:p>
    <w:p>
      <w:pPr>
        <w:pStyle w:val="FirstParagraph"/>
      </w:pPr>
      <w:r>
        <w:t xml:space="preserve">Sector</w:t>
      </w:r>
    </w:p>
    <w:p>
      <w:pPr>
        <w:pStyle w:val="BodyText"/>
      </w:pPr>
      <w:r>
        <w:t xml:space="preserve">Revenue (USD)</w:t>
      </w:r>
    </w:p>
    <w:p>
      <w:pPr>
        <w:pStyle w:val="BodyText"/>
      </w:pPr>
      <w:r>
        <w:t xml:space="preserve">% of Total Abu Dhabi Sales</w:t>
      </w:r>
    </w:p>
    <w:p>
      <w:pPr>
        <w:pStyle w:val="BodyText"/>
      </w:pPr>
      <w:r>
        <w:t xml:space="preserve">Growth vs Q2 2023</w:t>
      </w:r>
    </w:p>
    <w:p>
      <w:pPr>
        <w:pStyle w:val="BodyText"/>
      </w:pPr>
      <w:r>
        <w:t xml:space="preserve">Energy &amp; Sustainability</w:t>
      </w:r>
    </w:p>
    <w:p>
      <w:pPr>
        <w:pStyle w:val="BodyText"/>
      </w:pPr>
      <w:r>
        <w:t xml:space="preserve">$1,450,000</w:t>
      </w:r>
    </w:p>
    <w:p>
      <w:pPr>
        <w:pStyle w:val="BodyText"/>
      </w:pPr>
      <w:r>
        <w:t xml:space="preserve">34.5%</w:t>
      </w:r>
    </w:p>
    <w:p>
      <w:pPr>
        <w:pStyle w:val="BodyText"/>
      </w:pPr>
      <w:r>
        <w:t xml:space="preserve">+19.7%</w:t>
      </w:r>
    </w:p>
    <w:p>
      <w:pPr>
        <w:pStyle w:val="BodyText"/>
      </w:pPr>
      <w:r>
        <w:t xml:space="preserve">Fintech &amp; Banking</w:t>
      </w:r>
    </w:p>
    <w:p>
      <w:pPr>
        <w:pStyle w:val="BodyText"/>
      </w:pPr>
      <w:r>
        <w:t xml:space="preserve">$980,000</w:t>
      </w:r>
    </w:p>
    <w:p>
      <w:pPr>
        <w:pStyle w:val="BodyText"/>
      </w:pPr>
      <w:r>
        <w:t xml:space="preserve">Total Abu Dhabi Business Consultant Revenue (Q3)</w:t>
      </w:r>
    </w:p>
    <w:p>
      <w:pPr>
        <w:pStyle w:val="BodyText"/>
      </w:pPr>
      <w:r>
        <w:t xml:space="preserve">$4,215,750</w:t>
      </w:r>
    </w:p>
    <w:p>
      <w:pPr>
        <w:pStyle w:val="BodyText"/>
      </w:pPr>
      <w:r>
        <w:t xml:space="preserve">100%</w:t>
      </w:r>
    </w:p>
    <w:p>
      <w:pPr>
        <w:pStyle w:val="BodyText"/>
      </w:pPr>
      <w:r>
        <w:t xml:space="preserve">+22.3%</w:t>
      </w:r>
    </w:p>
    <w:bookmarkEnd w:id="22"/>
    <w:bookmarkStart w:id="23" w:name="b.-key-client-acquisition-highlights"/>
    <w:p>
      <w:pPr>
        <w:pStyle w:val="Heading3"/>
      </w:pPr>
      <w:r>
        <w:t xml:space="preserve">B. Key Client Acquisition Highlights</w:t>
      </w:r>
    </w:p>
    <w:p>
      <w:pPr>
        <w:numPr>
          <w:ilvl w:val="0"/>
          <w:numId w:val="1001"/>
        </w:numPr>
        <w:pStyle w:val="Compact"/>
      </w:pPr>
      <w:r>
        <w:rPr>
          <w:bCs/>
          <w:b/>
        </w:rPr>
        <w:t xml:space="preserve">Sovereign Wealth Fund Engagement:</w:t>
      </w:r>
      <w:r>
        <w:t xml:space="preserve"> </w:t>
      </w:r>
      <w:r>
        <w:t xml:space="preserve">Secured a $1.8M strategic transformation mandate with Mubadala Investment Company for their renewable energy portfolio restructuring – our largest Abu Dhabi contract to date.</w:t>
      </w:r>
    </w:p>
    <w:p>
      <w:pPr>
        <w:numPr>
          <w:ilvl w:val="0"/>
          <w:numId w:val="1001"/>
        </w:numPr>
        <w:pStyle w:val="Compact"/>
      </w:pPr>
      <w:r>
        <w:rPr>
          <w:bCs/>
          <w:b/>
        </w:rPr>
        <w:t xml:space="preserve">Government Partnership:</w:t>
      </w:r>
      <w:r>
        <w:t xml:space="preserve"> </w:t>
      </w:r>
      <w:r>
        <w:t xml:space="preserve">Won the tender for Abu Dhabi Government's Digital Transformation Office, delivering AI integration strategy for 27 municipal departments.</w:t>
      </w:r>
    </w:p>
    <w:p>
      <w:pPr>
        <w:numPr>
          <w:ilvl w:val="0"/>
          <w:numId w:val="1001"/>
        </w:numPr>
        <w:pStyle w:val="Compact"/>
      </w:pPr>
      <w:r>
        <w:rPr>
          <w:bCs/>
          <w:b/>
        </w:rPr>
        <w:t xml:space="preserve">Private Sector Expansion:</w:t>
      </w:r>
      <w:r>
        <w:t xml:space="preserve"> </w:t>
      </w:r>
      <w:r>
        <w:t xml:space="preserve">Closed 14 new corporate clients including three Fortune 500 UAE subsidiaries in logistics and manufacturing, representing a 35% increase in enterprise-level contracts.</w:t>
      </w:r>
    </w:p>
    <w:bookmarkEnd w:id="23"/>
    <w:bookmarkEnd w:id="24"/>
    <w:bookmarkStart w:id="25" w:name="iv.-abu-dhabi-specific-market-insights"/>
    <w:p>
      <w:pPr>
        <w:pStyle w:val="Heading2"/>
      </w:pPr>
      <w:r>
        <w:t xml:space="preserve">IV. Abu Dhabi-Specific Market Insights</w:t>
      </w:r>
    </w:p>
    <w:p>
      <w:pPr>
        <w:pStyle w:val="FirstParagraph"/>
      </w:pPr>
      <w:r>
        <w:t xml:space="preserve">The United Arab Emirates Abu Dhabi market exhibits unique characteristics requiring specialized Business Consultant approaches:</w:t>
      </w:r>
    </w:p>
    <w:p>
      <w:pPr>
        <w:numPr>
          <w:ilvl w:val="0"/>
          <w:numId w:val="1002"/>
        </w:numPr>
        <w:pStyle w:val="Compact"/>
      </w:pPr>
      <w:r>
        <w:rPr>
          <w:bCs/>
          <w:b/>
        </w:rPr>
        <w:t xml:space="preserve">Cultural Intelligence Requirement:</w:t>
      </w:r>
      <w:r>
        <w:t xml:space="preserve"> </w:t>
      </w:r>
      <w:r>
        <w:t xml:space="preserve">89% of successful engagements required consultants fluent in Emirati business etiquette and Arabic-speaking teams, directly impacting client trust metrics.</w:t>
      </w:r>
    </w:p>
    <w:p>
      <w:pPr>
        <w:numPr>
          <w:ilvl w:val="0"/>
          <w:numId w:val="1002"/>
        </w:numPr>
        <w:pStyle w:val="Compact"/>
      </w:pPr>
      <w:r>
        <w:rPr>
          <w:bCs/>
          <w:b/>
        </w:rPr>
        <w:t xml:space="preserve">Regulatory Navigation:</w:t>
      </w:r>
      <w:r>
        <w:t xml:space="preserve"> </w:t>
      </w:r>
      <w:r>
        <w:t xml:space="preserve">Abu Dhabi's evolving regulatory environment (especially in fintech under ADGM) created 42% of new consulting opportunities this quarter, with our team achieving 100% compliance success rate.</w:t>
      </w:r>
    </w:p>
    <w:p>
      <w:pPr>
        <w:numPr>
          <w:ilvl w:val="0"/>
          <w:numId w:val="1002"/>
        </w:numPr>
        <w:pStyle w:val="Compact"/>
      </w:pPr>
      <w:r>
        <w:rPr>
          <w:bCs/>
          <w:b/>
        </w:rPr>
        <w:t xml:space="preserve">Vision 2030 Alignment:</w:t>
      </w:r>
      <w:r>
        <w:t xml:space="preserve"> </w:t>
      </w:r>
      <w:r>
        <w:t xml:space="preserve">Clients consistently seek Business Consultant services that demonstrably support UAE National Strategy for Economic Diversification – our "Vision-Aligned Consulting Framework" contributed to a 41% higher win rate in Q3.</w:t>
      </w:r>
    </w:p>
    <w:bookmarkEnd w:id="25"/>
    <w:bookmarkStart w:id="26" w:name="Xa130e228be3281d60cdd0fdfe5faa9d46a4cf88"/>
    <w:p>
      <w:pPr>
        <w:pStyle w:val="Heading2"/>
      </w:pPr>
      <w:r>
        <w:t xml:space="preserve">V. Client Success Case Study: Abu Dhabi Healthcare Transformation</w:t>
      </w:r>
    </w:p>
    <w:p>
      <w:pPr>
        <w:pStyle w:val="FirstParagraph"/>
      </w:pPr>
      <w:r>
        <w:t xml:space="preserve">Our Business Consultant team delivered exceptional results for a major Abu Dhabi healthcare provider facing operational inefficiencies. By implementing an AI-driven patient flow optimization system and restructuring departmental KPIs aligned with Abu Dhabi Health Services Strategy, we achieved:</w:t>
      </w:r>
    </w:p>
    <w:p>
      <w:pPr>
        <w:numPr>
          <w:ilvl w:val="0"/>
          <w:numId w:val="1003"/>
        </w:numPr>
        <w:pStyle w:val="Compact"/>
      </w:pPr>
      <w:r>
        <w:t xml:space="preserve">37% reduction in patient wait times</w:t>
      </w:r>
    </w:p>
    <w:p>
      <w:pPr>
        <w:numPr>
          <w:ilvl w:val="0"/>
          <w:numId w:val="1003"/>
        </w:numPr>
        <w:pStyle w:val="Compact"/>
      </w:pPr>
      <w:r>
        <w:t xml:space="preserve">22% increase in bed utilization</w:t>
      </w:r>
    </w:p>
    <w:p>
      <w:pPr>
        <w:numPr>
          <w:ilvl w:val="0"/>
          <w:numId w:val="1003"/>
        </w:numPr>
        <w:pStyle w:val="Compact"/>
      </w:pPr>
      <w:r>
        <w:t xml:space="preserve">$6.8M annualized cost savings</w:t>
      </w:r>
    </w:p>
    <w:p>
      <w:pPr>
        <w:numPr>
          <w:ilvl w:val="0"/>
          <w:numId w:val="1003"/>
        </w:numPr>
        <w:pStyle w:val="Compact"/>
      </w:pPr>
      <w:r>
        <w:t xml:space="preserve">Recognition as "Top Healthcare Innovator" by Abu Dhabi Department of Health (Q3 2023)</w:t>
      </w:r>
    </w:p>
    <w:p>
      <w:pPr>
        <w:pStyle w:val="FirstParagraph"/>
      </w:pPr>
      <w:r>
        <w:t xml:space="preserve">This project exemplifies how our Business Consultant expertise directly supports Abu Dhabi's strategic priorities, generating a 5.4x ROI for the client and establishing a foundation for expanding into other public health initiatives across the United Arab Emirates.</w:t>
      </w:r>
    </w:p>
    <w:bookmarkEnd w:id="26"/>
    <w:bookmarkStart w:id="29" w:name="X5c7156ed8219e838e21e81b816940a9d642acd4"/>
    <w:p>
      <w:pPr>
        <w:pStyle w:val="Heading2"/>
      </w:pPr>
      <w:r>
        <w:t xml:space="preserve">VI. Challenges and Strategic Recommendations</w:t>
      </w:r>
    </w:p>
    <w:bookmarkStart w:id="27" w:name="X6da36702bd8b7a911ffa6d87985c07dbd429c01"/>
    <w:p>
      <w:pPr>
        <w:pStyle w:val="Heading3"/>
      </w:pPr>
      <w:r>
        <w:t xml:space="preserve">A. Current Market Challenges in Abu Dhabi:</w:t>
      </w:r>
    </w:p>
    <w:p>
      <w:pPr>
        <w:numPr>
          <w:ilvl w:val="0"/>
          <w:numId w:val="1004"/>
        </w:numPr>
        <w:pStyle w:val="Compact"/>
      </w:pPr>
      <w:r>
        <w:t xml:space="preserve">Competitive bidding pressure from regional consultancies offering lower-cost but less specialized services</w:t>
      </w:r>
    </w:p>
    <w:p>
      <w:pPr>
        <w:numPr>
          <w:ilvl w:val="0"/>
          <w:numId w:val="1004"/>
        </w:numPr>
        <w:pStyle w:val="Compact"/>
      </w:pPr>
      <w:r>
        <w:t xml:space="preserve">Talent acquisition difficulties for consultants with both UAE market expertise and international certifications (only 17% of local talent possesses required credentials)</w:t>
      </w:r>
    </w:p>
    <w:p>
      <w:pPr>
        <w:numPr>
          <w:ilvl w:val="0"/>
          <w:numId w:val="1004"/>
        </w:numPr>
        <w:pStyle w:val="Compact"/>
      </w:pPr>
      <w:r>
        <w:t xml:space="preserve">Rising client expectations for measurable ESG integration in all business strategies</w:t>
      </w:r>
    </w:p>
    <w:bookmarkEnd w:id="27"/>
    <w:bookmarkStart w:id="28" w:name="b.-actionable-recommendations"/>
    <w:p>
      <w:pPr>
        <w:pStyle w:val="Heading3"/>
      </w:pPr>
      <w:r>
        <w:t xml:space="preserve">B. Actionable Recommendations:</w:t>
      </w:r>
    </w:p>
    <w:p>
      <w:pPr>
        <w:numPr>
          <w:ilvl w:val="0"/>
          <w:numId w:val="1005"/>
        </w:numPr>
        <w:pStyle w:val="Compact"/>
      </w:pPr>
      <w:r>
        <w:rPr>
          <w:bCs/>
          <w:b/>
        </w:rPr>
        <w:t xml:space="preserve">Launch Abu Dhabi Talent Accelerator Program:</w:t>
      </w:r>
      <w:r>
        <w:t xml:space="preserve"> </w:t>
      </w:r>
      <w:r>
        <w:t xml:space="preserve">Partner with Khalifa University to develop a certified Business Consultant training program tailored to UAE market dynamics, targeting 50 new local hires by Q2 2024.</w:t>
      </w:r>
    </w:p>
    <w:p>
      <w:pPr>
        <w:numPr>
          <w:ilvl w:val="0"/>
          <w:numId w:val="1005"/>
        </w:numPr>
        <w:pStyle w:val="Compact"/>
      </w:pPr>
      <w:r>
        <w:rPr>
          <w:bCs/>
          <w:b/>
        </w:rPr>
        <w:t xml:space="preserve">Create Vision 2030 Specialization Unit:</w:t>
      </w:r>
      <w:r>
        <w:t xml:space="preserve"> </w:t>
      </w:r>
      <w:r>
        <w:t xml:space="preserve">Form dedicated team focused exclusively on economic diversification projects across Abu Dhabi's priority sectors (energy transition, advanced manufacturing, tourism).</w:t>
      </w:r>
    </w:p>
    <w:bookmarkEnd w:id="28"/>
    <w:bookmarkEnd w:id="29"/>
    <w:bookmarkStart w:id="30" w:name="Xb4361fd6030514da1539e860635148f44acefa8"/>
    <w:p>
      <w:pPr>
        <w:pStyle w:val="Heading2"/>
      </w:pPr>
      <w:r>
        <w:t xml:space="preserve">VII. Future Outlook for Business Consultant Services in UAE Abu Dhabi</w:t>
      </w:r>
    </w:p>
    <w:p>
      <w:pPr>
        <w:pStyle w:val="FirstParagraph"/>
      </w:pPr>
      <w:r>
        <w:t xml:space="preserve">The United Arab Emirates Abu Dhabi market is poised for sustained growth in Business Consultant demand, with projections indicating 25%+ annual expansion through 2025. Key drivers include:</w:t>
      </w:r>
    </w:p>
    <w:p>
      <w:pPr>
        <w:numPr>
          <w:ilvl w:val="0"/>
          <w:numId w:val="1006"/>
        </w:numPr>
        <w:pStyle w:val="Compact"/>
      </w:pPr>
      <w:r>
        <w:t xml:space="preserve">Abu Dhabi's $1.4 billion investment in AI infrastructure (Dubai Economic Vision 2030)</w:t>
      </w:r>
    </w:p>
    <w:p>
      <w:pPr>
        <w:numPr>
          <w:ilvl w:val="0"/>
          <w:numId w:val="1006"/>
        </w:numPr>
        <w:pStyle w:val="Compact"/>
      </w:pPr>
      <w:r>
        <w:t xml:space="preserve">Increasing foreign direct investment requiring local market expertise</w:t>
      </w:r>
    </w:p>
    <w:p>
      <w:pPr>
        <w:numPr>
          <w:ilvl w:val="0"/>
          <w:numId w:val="1006"/>
        </w:numPr>
        <w:pStyle w:val="Compact"/>
      </w:pPr>
      <w:r>
        <w:t xml:space="preserve">Government mandates for all public-private partnerships to include strategic consulting components</w:t>
      </w:r>
    </w:p>
    <w:p>
      <w:pPr>
        <w:pStyle w:val="FirstParagraph"/>
      </w:pPr>
      <w:r>
        <w:t xml:space="preserve">This trajectory makes Abu Dhabi the most strategically valuable market for our Business Consultant division. We project $5.8M in new contracts for Q4 2023, with a target of capturing 45% market share in high-value strategic advisory services within Abu Dhabi by Q1 2024.</w:t>
      </w:r>
    </w:p>
    <w:bookmarkEnd w:id="30"/>
    <w:bookmarkStart w:id="31" w:name="viii.-conclusion"/>
    <w:p>
      <w:pPr>
        <w:pStyle w:val="Heading2"/>
      </w:pPr>
      <w:r>
        <w:t xml:space="preserve">VIII. Conclusion</w:t>
      </w:r>
    </w:p>
    <w:p>
      <w:pPr>
        <w:pStyle w:val="FirstParagraph"/>
      </w:pPr>
      <w:r>
        <w:t xml:space="preserve">This Sales Report confirms Abu Dhabi's position as the crown jewel of business consulting opportunities in the United Arab Emirates. The exceptional performance of our Business Consultant team demonstrates how deep market understanding, cultural alignment, and strategic vision directly translate to revenue growth in this premium market. As we continue to invest in Abu Dhabi-specific capabilities, our firm is uniquely positioned to become the premier Business Consultant partner for organizations navigating the UAE's economic transformation journey. We recommend accelerating all Abu Dhabi-focused initiatives outlined in this report to capitalize on these exceptional market conditions.</w:t>
      </w:r>
    </w:p>
    <w:p>
      <w:pPr>
        <w:pStyle w:val="BodyText"/>
      </w:pPr>
      <w:r>
        <w:rPr>
          <w:bCs/>
          <w:b/>
        </w:rPr>
        <w:t xml:space="preserve">Prepared By:</w:t>
      </w:r>
      <w:r>
        <w:t xml:space="preserve"> </w:t>
      </w:r>
      <w:r>
        <w:t xml:space="preserve">Global Business Consulting Division</w:t>
      </w:r>
      <w:r>
        <w:br/>
      </w:r>
      <w:r>
        <w:rPr>
          <w:bCs/>
          <w:b/>
        </w:rPr>
        <w:t xml:space="preserve">For Inquiries Regarding United Arab Emirates Abu Dhabi Sales Report:</w:t>
      </w:r>
      <w:r>
        <w:t xml:space="preserve"> </w:t>
      </w:r>
      <w:r>
        <w:t xml:space="preserve">abudhabi.sales@businessconsultantuae.com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 Abu Dhabi, United Arab Emirates</dc:title>
  <dc:creator/>
  <dc:language>en</dc:language>
  <cp:keywords/>
  <dcterms:created xsi:type="dcterms:W3CDTF">2026-07-24T13:23:14Z</dcterms:created>
  <dcterms:modified xsi:type="dcterms:W3CDTF">2026-07-24T13:23:14Z</dcterms:modified>
</cp:coreProperties>
</file>

<file path=docProps/custom.xml><?xml version="1.0" encoding="utf-8"?>
<Properties xmlns="http://schemas.openxmlformats.org/officeDocument/2006/custom-properties" xmlns:vt="http://schemas.openxmlformats.org/officeDocument/2006/docPropsVTypes"/>
</file>