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Dubai</w:t>
      </w:r>
      <w:r>
        <w:t xml:space="preserve"> </w:t>
      </w:r>
      <w:r>
        <w:t xml:space="preserve">Market</w:t>
      </w:r>
      <w:r>
        <w:t xml:space="preserve"> </w:t>
      </w:r>
      <w:r>
        <w:t xml:space="preserve">Performance</w:t>
      </w:r>
    </w:p>
    <w:bookmarkStart w:id="29" w:name="X65fe24d5f01beb6bbd65e6b6b5aebe802d6dcba"/>
    <w:p>
      <w:pPr>
        <w:pStyle w:val="Heading1"/>
      </w:pPr>
      <w:r>
        <w:t xml:space="preserve">Comprehensive Sales Report: Business Consultant Services in United Arab Emirates Dubai Market</w:t>
      </w:r>
    </w:p>
    <w:bookmarkStart w:id="20" w:name="executive-summary"/>
    <w:p>
      <w:pPr>
        <w:pStyle w:val="Heading2"/>
      </w:pPr>
      <w:r>
        <w:t xml:space="preserve">Executive Summary</w:t>
      </w:r>
    </w:p>
    <w:p>
      <w:pPr>
        <w:pStyle w:val="FirstParagraph"/>
      </w:pPr>
      <w:r>
        <w:t xml:space="preserve">This Sales Report details the performance of our Business Consultant services across the United Arab Emirates Dubai market during Q3 2023. As a premier business consulting firm operating within Dubai's dynamic economic ecosystem, we have achieved remarkable growth, securing 17 new enterprise contracts worth AED 48.5 million and expanding our client portfolio by 28% compared to Q2. This report underscores how strategic consulting solutions drive measurable ROI for clients navigating Dubai's unique business landscape, reinforcing our position as the leading Business Consultant in the United Arab Emirates.</w:t>
      </w:r>
    </w:p>
    <w:bookmarkEnd w:id="20"/>
    <w:bookmarkStart w:id="21" w:name="X84a7736a3301bda597768c6dc4582de19fe9b0d"/>
    <w:p>
      <w:pPr>
        <w:pStyle w:val="Heading2"/>
      </w:pPr>
      <w:r>
        <w:t xml:space="preserve">Market Context: Dubai as a Global Business Hub</w:t>
      </w:r>
    </w:p>
    <w:p>
      <w:pPr>
        <w:pStyle w:val="FirstParagraph"/>
      </w:pPr>
      <w:r>
        <w:t xml:space="preserve">Dubai's economic transformation under Vision 2030 initiatives has created unprecedented demand for specialized business consultancy. As the commercial nerve center of the United Arab Emirates, Dubai hosts over 15,000 multinational corporations and operates within a regulatory environment requiring expert navigation of DIFC (Dubai International Financial Centre) laws, visa processes, and emirate-specific compliance frameworks. Our Business Consultant team has positioned itself at the forefront of this opportunity by developing tailored solutions that address Dubai's distinct market requirements – from real estate investment structuring to FDI (Foreign Direct Investment) entry strategies. The United Arab Emirates government's focus on diversification beyond oil has intensified demand for our services, particularly in emerging sectors like fintech, sustainable tourism, and AI-driven business optimization.</w:t>
      </w:r>
    </w:p>
    <w:bookmarkEnd w:id="21"/>
    <w:bookmarkStart w:id="22"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 Change vs Q2</w:t>
            </w:r>
          </w:p>
        </w:tc>
      </w:tr>
      <w:tr>
        <w:tc>
          <w:tcPr/>
          <w:p>
            <w:pPr>
              <w:pStyle w:val="Compact"/>
              <w:jc w:val="left"/>
            </w:pPr>
            <w:r>
              <w:t xml:space="preserve">New Enterprise Contracts (Dubai-Based)</w:t>
            </w:r>
          </w:p>
        </w:tc>
        <w:tc>
          <w:tcPr/>
          <w:p>
            <w:pPr>
              <w:pStyle w:val="Compact"/>
              <w:jc w:val="left"/>
            </w:pPr>
            <w:r>
              <w:t xml:space="preserve">17</w:t>
            </w:r>
          </w:p>
        </w:tc>
        <w:tc>
          <w:tcPr/>
          <w:p>
            <w:pPr>
              <w:pStyle w:val="Compact"/>
              <w:jc w:val="left"/>
            </w:pPr>
            <w:r>
              <w:t xml:space="preserve">+28%</w:t>
            </w:r>
          </w:p>
        </w:tc>
      </w:tr>
      <w:tr>
        <w:tc>
          <w:tcPr/>
          <w:p>
            <w:pPr>
              <w:pStyle w:val="Compact"/>
              <w:jc w:val="left"/>
            </w:pPr>
            <w:r>
              <w:t xml:space="preserve">Total Contract Value (AED)</w:t>
            </w:r>
          </w:p>
        </w:tc>
        <w:tc>
          <w:tcPr/>
          <w:p>
            <w:pPr>
              <w:pStyle w:val="Compact"/>
              <w:jc w:val="left"/>
            </w:pPr>
            <w:r>
              <w:t xml:space="preserve">48,500,000</w:t>
            </w:r>
          </w:p>
        </w:tc>
        <w:tc>
          <w:tcPr/>
          <w:p>
            <w:pPr>
              <w:pStyle w:val="Compact"/>
              <w:jc w:val="left"/>
            </w:pPr>
            <w:r>
              <w:t xml:space="preserve">+34%</w:t>
            </w:r>
          </w:p>
        </w:tc>
      </w:tr>
      <w:tr>
        <w:tc>
          <w:tcPr/>
          <w:p>
            <w:pPr>
              <w:pStyle w:val="Compact"/>
              <w:jc w:val="left"/>
            </w:pPr>
            <w:r>
              <w:t xml:space="preserve">Client Retention Rate</w:t>
            </w:r>
          </w:p>
        </w:tc>
        <w:tc>
          <w:tcPr/>
          <w:p>
            <w:pPr>
              <w:pStyle w:val="Compact"/>
              <w:jc w:val="left"/>
            </w:pPr>
            <w:r>
              <w:t xml:space="preserve">92%</w:t>
            </w:r>
          </w:p>
        </w:tc>
        <w:tc>
          <w:tcPr/>
          <w:p>
            <w:pPr>
              <w:pStyle w:val="Compact"/>
              <w:jc w:val="left"/>
            </w:pPr>
            <w:r>
              <w:t xml:space="preserve">+7% YoY</w:t>
            </w:r>
          </w:p>
        </w:tc>
      </w:tr>
      <w:tr>
        <w:tc>
          <w:tcPr/>
          <w:p>
            <w:pPr>
              <w:pStyle w:val="Compact"/>
              <w:jc w:val="left"/>
            </w:pPr>
            <w:r>
              <w:t xml:space="preserve">New Industry Verticals Secured</w:t>
            </w:r>
          </w:p>
        </w:tc>
        <w:tc>
          <w:tcPr/>
          <w:p>
            <w:pPr>
              <w:pStyle w:val="Compact"/>
              <w:jc w:val="left"/>
            </w:pPr>
            <w:r>
              <w:t xml:space="preserve">5 (Healthtech, Green Energy, Luxury Retail, Logistics 4.0, EdTech)</w:t>
            </w:r>
          </w:p>
        </w:tc>
        <w:tc>
          <w:tcPr/>
          <w:p>
            <w:pPr>
              <w:pStyle w:val="Compact"/>
              <w:jc w:val="left"/>
            </w:pPr>
            <w:r>
              <w:t xml:space="preserve">-</w:t>
            </w:r>
          </w:p>
        </w:tc>
      </w:tr>
    </w:tbl>
    <w:p>
      <w:pPr>
        <w:pStyle w:val="BodyText"/>
      </w:pPr>
      <w:r>
        <w:t xml:space="preserve">Notably, 82% of new contracts were secured through strategic partnerships with Dubai government entities like DED (Department of Economic Development) and DMCC (Dubai Multi Commodities Centre), demonstrating our deep integration within the United Arab Emirates Dubai business infrastructure. Our success stems from understanding Dubai's unique commercial culture – where relationship-building ("wasta" dynamics) and cultural intelligence are as critical as technical expertise for a Business Consultant.</w:t>
      </w:r>
    </w:p>
    <w:bookmarkEnd w:id="22"/>
    <w:bookmarkStart w:id="25" w:name="Xbfb09b0b576db90e8fbdaf8eb4233b51181f9b2"/>
    <w:p>
      <w:pPr>
        <w:pStyle w:val="Heading2"/>
      </w:pPr>
      <w:r>
        <w:t xml:space="preserve">Client Success Highlights in Dubai Market</w:t>
      </w:r>
    </w:p>
    <w:bookmarkStart w:id="23" w:name="Xe3f118cc70e14caf8dc63b5767a67e0c5123646"/>
    <w:p>
      <w:pPr>
        <w:pStyle w:val="Heading3"/>
      </w:pPr>
      <w:r>
        <w:t xml:space="preserve">Case Study 1: Global Real Estate Conglomerate Expansion</w:t>
      </w:r>
    </w:p>
    <w:p>
      <w:pPr>
        <w:pStyle w:val="FirstParagraph"/>
      </w:pPr>
      <w:r>
        <w:t xml:space="preserve">A major European real estate firm engaged our Business Consultant services to enter Dubai's luxury residential market. Through our localized strategy, we navigated DMCC free zone requirements and secured partnerships with top-tier developers, resulting in a AED 22 million contract and accelerated market entry within 5 months (vs. industry average of 14 months). This project exemplifies how our Dubai-focused approach delivers measurable competitive advantage.</w:t>
      </w:r>
    </w:p>
    <w:bookmarkEnd w:id="23"/>
    <w:bookmarkStart w:id="24" w:name="case-study-2-uae-based-fintech-scale-up"/>
    <w:p>
      <w:pPr>
        <w:pStyle w:val="Heading3"/>
      </w:pPr>
      <w:r>
        <w:t xml:space="preserve">Case Study 2: UAE-Based Fintech Scale-Up</w:t>
      </w:r>
    </w:p>
    <w:p>
      <w:pPr>
        <w:pStyle w:val="FirstParagraph"/>
      </w:pPr>
      <w:r>
        <w:t xml:space="preserve">A promising Dubai-based fintech startup required regulatory compliance and growth strategy support to access MENA markets. Our Business Consultant team designed a DIFC-compliant business model that accelerated their licensing process by 60% and secured partnerships with three major Gulf banks, leading to AED 15 million in Series A funding – directly attributed to our strategic roadmap.</w:t>
      </w:r>
    </w:p>
    <w:bookmarkEnd w:id="24"/>
    <w:bookmarkEnd w:id="25"/>
    <w:bookmarkStart w:id="26" w:name="market-challenges-and-strategic-response"/>
    <w:p>
      <w:pPr>
        <w:pStyle w:val="Heading2"/>
      </w:pPr>
      <w:r>
        <w:t xml:space="preserve">Market Challenges and Strategic Response</w:t>
      </w:r>
    </w:p>
    <w:p>
      <w:pPr>
        <w:pStyle w:val="FirstParagraph"/>
      </w:pPr>
      <w:r>
        <w:t xml:space="preserve">The Dubai market presents unique challenges requiring specialized consultant expertise:</w:t>
      </w:r>
    </w:p>
    <w:p>
      <w:pPr>
        <w:numPr>
          <w:ilvl w:val="0"/>
          <w:numId w:val="1001"/>
        </w:numPr>
        <w:pStyle w:val="Compact"/>
      </w:pPr>
      <w:r>
        <w:rPr>
          <w:bCs/>
          <w:b/>
        </w:rPr>
        <w:t xml:space="preserve">Cultural Nuances:</w:t>
      </w:r>
      <w:r>
        <w:t xml:space="preserve"> </w:t>
      </w:r>
      <w:r>
        <w:t xml:space="preserve">Business Consultant engagements must align with Emirati business etiquette (e.g., preference for face-to-face negotiations, hierarchical decision-making). Our team's cultural training program reduced onboarding friction by 45%.</w:t>
      </w:r>
    </w:p>
    <w:p>
      <w:pPr>
        <w:numPr>
          <w:ilvl w:val="0"/>
          <w:numId w:val="1001"/>
        </w:numPr>
        <w:pStyle w:val="Compact"/>
      </w:pPr>
      <w:r>
        <w:rPr>
          <w:bCs/>
          <w:b/>
        </w:rPr>
        <w:t xml:space="preserve">Regulatory Complexity:</w:t>
      </w:r>
      <w:r>
        <w:t xml:space="preserve"> </w:t>
      </w:r>
      <w:r>
        <w:t xml:space="preserve">Frequent amendments to Dubai Commercial Companies Law necessitate agile consultancy. We implemented a real-time regulatory tracking system, ensuring all client strategies comply with United Arab Emirates federal and emirate-specific regulations.</w:t>
      </w:r>
    </w:p>
    <w:p>
      <w:pPr>
        <w:numPr>
          <w:ilvl w:val="0"/>
          <w:numId w:val="1001"/>
        </w:numPr>
        <w:pStyle w:val="Compact"/>
      </w:pPr>
      <w:r>
        <w:rPr>
          <w:bCs/>
          <w:b/>
        </w:rPr>
        <w:t xml:space="preserve">Competitive Landscape:</w:t>
      </w:r>
      <w:r>
        <w:t xml:space="preserve"> </w:t>
      </w:r>
      <w:r>
        <w:t xml:space="preserve">Growing number of local consultancies demanding deeper Dubai market knowledge. Our solution: certified Dubai Market Specialization (DMS) accreditation for all consultants, creating a defensible competitive edge.</w:t>
      </w:r>
    </w:p>
    <w:bookmarkEnd w:id="26"/>
    <w:bookmarkStart w:id="27" w:name="X056d93571ebe1d7c608880348588ac3d5e7a7b9"/>
    <w:p>
      <w:pPr>
        <w:pStyle w:val="Heading2"/>
      </w:pPr>
      <w:r>
        <w:t xml:space="preserve">Strategic Recommendations for United Arab Emirates Dubai Growth</w:t>
      </w:r>
    </w:p>
    <w:p>
      <w:pPr>
        <w:pStyle w:val="FirstParagraph"/>
      </w:pPr>
      <w:r>
        <w:t xml:space="preserve">To capitalize on the UAE's $60 billion target for non-oil GDP growth by 2030, we recommend:</w:t>
      </w:r>
    </w:p>
    <w:p>
      <w:pPr>
        <w:numPr>
          <w:ilvl w:val="0"/>
          <w:numId w:val="1002"/>
        </w:numPr>
        <w:pStyle w:val="Compact"/>
      </w:pPr>
      <w:r>
        <w:rPr>
          <w:bCs/>
          <w:b/>
        </w:rPr>
        <w:t xml:space="preserve">Expand Sector Specialization:</w:t>
      </w:r>
      <w:r>
        <w:t xml:space="preserve"> </w:t>
      </w:r>
      <w:r>
        <w:t xml:space="preserve">Develop dedicated practice groups for Dubai's priority sectors (e.g., Sustainability Advisory focusing on Dubai Green Building Regulations, Aviation Consulting aligned with Emirates' expansion).</w:t>
      </w:r>
    </w:p>
    <w:p>
      <w:pPr>
        <w:numPr>
          <w:ilvl w:val="0"/>
          <w:numId w:val="1002"/>
        </w:numPr>
        <w:pStyle w:val="Compact"/>
      </w:pPr>
      <w:r>
        <w:rPr>
          <w:bCs/>
          <w:b/>
        </w:rPr>
        <w:t xml:space="preserve">Leverage Government Partnerships:</w:t>
      </w:r>
      <w:r>
        <w:t xml:space="preserve"> </w:t>
      </w:r>
      <w:r>
        <w:t xml:space="preserve">Formalize MOUs with DIFC Academy and TECOM Group to co-develop executive programs, positioning us as the preferred Business Consultant for Dubai's economic development initiatives.</w:t>
      </w:r>
    </w:p>
    <w:p>
      <w:pPr>
        <w:numPr>
          <w:ilvl w:val="0"/>
          <w:numId w:val="1002"/>
        </w:numPr>
        <w:pStyle w:val="Compact"/>
      </w:pPr>
      <w:r>
        <w:rPr>
          <w:bCs/>
          <w:b/>
        </w:rPr>
        <w:t xml:space="preserve">Technology Integration:</w:t>
      </w:r>
      <w:r>
        <w:t xml:space="preserve"> </w:t>
      </w:r>
      <w:r>
        <w:t xml:space="preserve">Implement AI-driven market analytics tools trained on Dubai-specific datasets (e.g., Dubai Statistical Centre data) to predict market shifts 6-9 months in advance – a capability absent in most competing Business Consultant firms.</w:t>
      </w:r>
    </w:p>
    <w:p>
      <w:pPr>
        <w:numPr>
          <w:ilvl w:val="0"/>
          <w:numId w:val="1002"/>
        </w:numPr>
        <w:pStyle w:val="Compact"/>
      </w:pPr>
      <w:r>
        <w:rPr>
          <w:bCs/>
          <w:b/>
        </w:rPr>
        <w:t xml:space="preserve">Talent Development:</w:t>
      </w:r>
      <w:r>
        <w:t xml:space="preserve"> </w:t>
      </w:r>
      <w:r>
        <w:t xml:space="preserve">Establish a "Dubai Market Immersion Program" for consultants, requiring 3 months of on-ground experience at key Dubai business hubs (Business Bay, Downtown Dubai) to deepen local market intelligence.</w:t>
      </w:r>
    </w:p>
    <w:bookmarkEnd w:id="27"/>
    <w:bookmarkStart w:id="28" w:name="Xdbeb9a389a8a714c20436765f4dfae8a9e8dc4d"/>
    <w:p>
      <w:pPr>
        <w:pStyle w:val="Heading2"/>
      </w:pPr>
      <w:r>
        <w:t xml:space="preserve">Conclusion: The Future of Business Consulting in United Arab Emirates Dubai</w:t>
      </w:r>
    </w:p>
    <w:p>
      <w:pPr>
        <w:pStyle w:val="FirstParagraph"/>
      </w:pPr>
      <w:r>
        <w:t xml:space="preserve">This Sales Report confirms that strategic consultancy services are no longer optional but essential for businesses operating within the United Arab Emirates Dubai ecosystem. Our Q3 results demonstrate how specialized Business Consultant expertise directly translates to client growth – evidenced by 95% of our new clients achieving their primary KPIs within 12 months of engagement. With Dubai's economy projected to grow at 3.8% in 2024 (World Bank) and the UAE government prioritizing business-friendly reforms, the demand for hyper-localized consulting solutions will only intensify.</w:t>
      </w:r>
    </w:p>
    <w:p>
      <w:pPr>
        <w:pStyle w:val="BodyText"/>
      </w:pPr>
      <w:r>
        <w:t xml:space="preserve">As a leading Business Consultant serving the United Arab Emirates Dubai market, we are not merely delivering reports – we are architecting growth pathways that align with Dubai's vision of becoming a global innovation capital. Our strategic focus on cultural intelligence, regulatory mastery, and sector-specific expertise positions us to capture 35% of the $280 million Dubai business consulting market by 2025. The future belongs to consultants who understand that success in United Arab Emirates Dubai requires more than generic advice – it demands a deep connection to this unique commercial frontier.</w:t>
      </w:r>
    </w:p>
    <w:p>
      <w:pPr>
        <w:pStyle w:val="BodyText"/>
      </w:pPr>
      <w:r>
        <w:rPr>
          <w:bCs/>
          <w:b/>
        </w:rPr>
        <w:t xml:space="preserve">Prepared by: Global Business Advisors | Dubai Office</w:t>
      </w:r>
    </w:p>
    <w:p>
      <w:pPr>
        <w:pStyle w:val="BodyText"/>
      </w:pPr>
      <w:r>
        <w:rPr>
          <w:iCs/>
          <w:i/>
        </w:rPr>
        <w:t xml:space="preserve">Driving Strategic Growth Since 2010 | Licensed by DED Dubai No. D954367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Dubai Market Performance</dc:title>
  <dc:creator/>
  <dc:language>en</dc:language>
  <cp:keywords/>
  <dcterms:created xsi:type="dcterms:W3CDTF">2026-07-24T14:47:47Z</dcterms:created>
  <dcterms:modified xsi:type="dcterms:W3CDTF">2026-07-24T14:47:47Z</dcterms:modified>
</cp:coreProperties>
</file>

<file path=docProps/custom.xml><?xml version="1.0" encoding="utf-8"?>
<Properties xmlns="http://schemas.openxmlformats.org/officeDocument/2006/custom-properties" xmlns:vt="http://schemas.openxmlformats.org/officeDocument/2006/docPropsVTypes"/>
</file>