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w:t>
      </w:r>
      <w:r>
        <w:t xml:space="preserve"> </w:t>
      </w:r>
      <w:r>
        <w:t xml:space="preserve">United</w:t>
      </w:r>
      <w:r>
        <w:t xml:space="preserve"> </w:t>
      </w:r>
      <w:r>
        <w:t xml:space="preserve">Kingdom</w:t>
      </w:r>
      <w:r>
        <w:t xml:space="preserve"> </w:t>
      </w:r>
      <w:r>
        <w:t xml:space="preserve">London</w:t>
      </w:r>
    </w:p>
    <w:bookmarkStart w:id="30" w:name="X550c429be0dba0f6a906b078e621d9469fa75c7"/>
    <w:p>
      <w:pPr>
        <w:pStyle w:val="Heading1"/>
      </w:pPr>
      <w:r>
        <w:t xml:space="preserve">Quarterly Sales Report: Business Consultant Services in United Kingdom London</w:t>
      </w:r>
    </w:p>
    <w:p>
      <w:pPr>
        <w:pStyle w:val="FirstParagraph"/>
      </w:pPr>
      <w:r>
        <w:t xml:space="preserve">Prepared for Strategic Leadership Team | Q3 2023 (July-September) | Confidential</w:t>
      </w:r>
    </w:p>
    <w:bookmarkStart w:id="20" w:name="executive-summary"/>
    <w:p>
      <w:pPr>
        <w:pStyle w:val="Heading2"/>
      </w:pPr>
      <w:r>
        <w:t xml:space="preserve">Executive Summary</w:t>
      </w:r>
    </w:p>
    <w:p>
      <w:pPr>
        <w:pStyle w:val="FirstParagraph"/>
      </w:pPr>
      <w:r>
        <w:t xml:space="preserve">This comprehensive Sales Report details the performance of our Business Consultant division operating across United Kingdom London during Q3 2023. The London market remains a critical growth engine for our consultancy services, contributing 47% of total UK revenue with a 15% year-on-year expansion. Despite persistent economic headwinds in the UK, our Business Consultant team achieved outstanding results through hyper-localized service delivery and sector-specific expertise tailored to London's dynamic business ecosystem. This report validates our strategic investment in London as the nerve centre for premium consultancy services within the United Kingdom.</w:t>
      </w:r>
    </w:p>
    <w:p>
      <w:pPr>
        <w:pStyle w:val="BodyText"/>
      </w:pPr>
      <w:r>
        <w:rPr>
          <w:bCs/>
          <w:b/>
        </w:rPr>
        <w:t xml:space="preserve">Key Achievement:</w:t>
      </w:r>
      <w:r>
        <w:t xml:space="preserve"> </w:t>
      </w:r>
      <w:r>
        <w:t xml:space="preserve">Secured 12 new enterprise contracts (including 3 FTSE 100 clients) with a combined value of £2.8M, representing a 34% increase in high-value engagements versus Q2. Our London-based Business Consultant team achieved an industry-leading client retention rate of 92%, outperforming the UK benchmark by 18 points.</w:t>
      </w:r>
    </w:p>
    <w:bookmarkEnd w:id="20"/>
    <w:bookmarkStart w:id="21" w:name="Xcd25393dd03899d77caabdee0a7882d2c91ab2c"/>
    <w:p>
      <w:pPr>
        <w:pStyle w:val="Heading2"/>
      </w:pPr>
      <w:r>
        <w:t xml:space="preserve">Market Analysis: United Kingdom London Context</w:t>
      </w:r>
    </w:p>
    <w:p>
      <w:pPr>
        <w:pStyle w:val="FirstParagraph"/>
      </w:pPr>
      <w:r>
        <w:t xml:space="preserve">London's business environment remains uniquely complex yet rewarding for a Business Consultant. As the financial capital of Europe and home to over 30% of UK FTSE 100 companies, the city demands consultancy services that navigate Brexit repercussions, ESG compliance pressures, and post-pandemic restructuring needs. Our Q3 analysis reveals three dominant market trends:</w:t>
      </w:r>
    </w:p>
    <w:p>
      <w:pPr>
        <w:numPr>
          <w:ilvl w:val="0"/>
          <w:numId w:val="1001"/>
        </w:numPr>
        <w:pStyle w:val="Compact"/>
      </w:pPr>
      <w:r>
        <w:rPr>
          <w:bCs/>
          <w:b/>
        </w:rPr>
        <w:t xml:space="preserve">ESG Integration Demand:</w:t>
      </w:r>
      <w:r>
        <w:t xml:space="preserve"> </w:t>
      </w:r>
      <w:r>
        <w:t xml:space="preserve">68% of London clients requested sustainability strategy development – up 41% YoY – driven by London Stock Exchange reporting requirements</w:t>
      </w:r>
    </w:p>
    <w:p>
      <w:pPr>
        <w:numPr>
          <w:ilvl w:val="0"/>
          <w:numId w:val="1001"/>
        </w:numPr>
        <w:pStyle w:val="Compact"/>
      </w:pPr>
      <w:r>
        <w:rPr>
          <w:bCs/>
          <w:b/>
        </w:rPr>
        <w:t xml:space="preserve">Digital Transformation Priorities:</w:t>
      </w:r>
      <w:r>
        <w:t xml:space="preserve"> </w:t>
      </w:r>
      <w:r>
        <w:t xml:space="preserve">Fintech and retail sectors allocated 32% of consultancy budgets to AI-driven operational optimization</w:t>
      </w:r>
    </w:p>
    <w:p>
      <w:pPr>
        <w:numPr>
          <w:ilvl w:val="0"/>
          <w:numId w:val="1001"/>
        </w:numPr>
        <w:pStyle w:val="Compact"/>
      </w:pPr>
      <w:r>
        <w:rPr>
          <w:bCs/>
          <w:b/>
        </w:rPr>
        <w:t xml:space="preserve">Regulatory Compliance Focus:</w:t>
      </w:r>
      <w:r>
        <w:t xml:space="preserve"> </w:t>
      </w:r>
      <w:r>
        <w:t xml:space="preserve">Post-2023 Financial Conduct Authority (FCA) updates generated 57 new compliance advisory requests in London alone</w:t>
      </w:r>
    </w:p>
    <w:bookmarkEnd w:id="21"/>
    <w:bookmarkStart w:id="22" w:name="X9f604f9469c6a9c36d77242ace244d048543caa"/>
    <w:p>
      <w:pPr>
        <w:pStyle w:val="Heading2"/>
      </w:pPr>
      <w:r>
        <w:t xml:space="preserve">Performance Metrics: Business Consultant Team KPIs</w:t>
      </w:r>
    </w:p>
    <w:p>
      <w:pPr>
        <w:pStyle w:val="FirstParagraph"/>
      </w:pPr>
      <w:r>
        <w:t xml:space="preserve">Key Performance Indicator</w:t>
      </w:r>
    </w:p>
    <w:p>
      <w:pPr>
        <w:pStyle w:val="BodyText"/>
      </w:pPr>
      <w:r>
        <w:t xml:space="preserve">Q3 2023 Result</w:t>
      </w:r>
    </w:p>
    <w:p>
      <w:pPr>
        <w:pStyle w:val="BodyText"/>
      </w:pPr>
      <w:r>
        <w:t xml:space="preserve">Target</w:t>
      </w:r>
    </w:p>
    <w:p>
      <w:pPr>
        <w:pStyle w:val="BodyText"/>
      </w:pPr>
      <w:r>
        <w:t xml:space="preserve">Variance</w:t>
      </w:r>
    </w:p>
    <w:p>
      <w:pPr>
        <w:pStyle w:val="BodyText"/>
      </w:pPr>
      <w:r>
        <w:t xml:space="preserve">New Client Acquisition (London)</w:t>
      </w:r>
    </w:p>
    <w:p>
      <w:pPr>
        <w:pStyle w:val="BodyText"/>
      </w:pPr>
      <w:r>
        <w:t xml:space="preserve">12 contracts (£2.8M)</w:t>
      </w:r>
    </w:p>
    <w:p>
      <w:pPr>
        <w:pStyle w:val="BodyText"/>
      </w:pPr>
      <w:r>
        <w:t xml:space="preserve">9 contracts (£2.1M)</w:t>
      </w:r>
    </w:p>
    <w:p>
      <w:pPr>
        <w:pStyle w:val="BodyText"/>
      </w:pPr>
      <w:r>
        <w:t xml:space="preserve">+33% value, +33% count</w:t>
      </w:r>
    </w:p>
    <w:p>
      <w:pPr>
        <w:pStyle w:val="BodyText"/>
      </w:pPr>
      <w:r>
        <w:t xml:space="preserve">Client Retention Rate</w:t>
      </w:r>
    </w:p>
    <w:p>
      <w:pPr>
        <w:pStyle w:val="BodyText"/>
      </w:pPr>
      <w:r>
        <w:t xml:space="preserve">92%</w:t>
      </w:r>
    </w:p>
    <w:p>
      <w:pPr>
        <w:pStyle w:val="BodyText"/>
      </w:pPr>
      <w:r>
        <w:t xml:space="preserve">&lt;</w:t>
      </w:r>
    </w:p>
    <w:p>
      <w:pPr>
        <w:pStyle w:val="BodyText"/>
      </w:pPr>
      <w:r>
        <w:t xml:space="preserve">85%</w:t>
      </w:r>
    </w:p>
    <w:p>
      <w:pPr>
        <w:pStyle w:val="BodyText"/>
      </w:pPr>
      <w:r>
        <w:t xml:space="preserve">+7 percentage points</w:t>
      </w:r>
    </w:p>
    <w:p>
      <w:pPr>
        <w:pStyle w:val="BodyText"/>
      </w:pPr>
      <w:r>
        <w:t xml:space="preserve">Average Contract Value (ACV)</w:t>
      </w:r>
    </w:p>
    <w:p>
      <w:pPr>
        <w:pStyle w:val="BodyText"/>
      </w:pPr>
      <w:r>
        <w:t xml:space="preserve">£233,000</w:t>
      </w:r>
    </w:p>
    <w:p>
      <w:pPr>
        <w:pStyle w:val="BodyText"/>
      </w:pPr>
      <w:r>
        <w:t xml:space="preserve">&lt;</w:t>
      </w:r>
    </w:p>
    <w:p>
      <w:pPr>
        <w:pStyle w:val="BodyText"/>
      </w:pPr>
      <w:r>
        <w:t xml:space="preserve">£195,000</w:t>
      </w:r>
    </w:p>
    <w:p>
      <w:pPr>
        <w:pStyle w:val="BodyText"/>
      </w:pPr>
      <w:r>
        <w:t xml:space="preserve">+19.5% increase</w:t>
      </w:r>
    </w:p>
    <w:p>
      <w:pPr>
        <w:pStyle w:val="BodyText"/>
      </w:pPr>
      <w:r>
        <w:t xml:space="preserve">London Market Share Growth</w:t>
      </w:r>
    </w:p>
    <w:p>
      <w:pPr>
        <w:pStyle w:val="BodyText"/>
      </w:pPr>
      <w:r>
        <w:t xml:space="preserve">+8.2%</w:t>
      </w:r>
    </w:p>
    <w:p>
      <w:pPr>
        <w:pStyle w:val="BodyText"/>
      </w:pPr>
      <w:r>
        <w:t xml:space="preserve">&lt;</w:t>
      </w:r>
    </w:p>
    <w:p>
      <w:pPr>
        <w:pStyle w:val="BodyText"/>
      </w:pPr>
      <w:r>
        <w:t xml:space="preserve">+4.5%</w:t>
      </w:r>
    </w:p>
    <w:p>
      <w:pPr>
        <w:pStyle w:val="BodyText"/>
      </w:pPr>
      <w:r>
        <w:t xml:space="preserve">+3.7 percentage points</w:t>
      </w:r>
    </w:p>
    <w:p>
      <w:pPr>
        <w:pStyle w:val="BodyText"/>
      </w:pPr>
      <w:r>
        <w:t xml:space="preserve">Client Satisfaction (NPS)</w:t>
      </w:r>
    </w:p>
    <w:p>
      <w:pPr>
        <w:pStyle w:val="BodyText"/>
      </w:pPr>
      <w:r>
        <w:t xml:space="preserve">78</w:t>
      </w:r>
    </w:p>
    <w:p>
      <w:pPr>
        <w:pStyle w:val="BodyText"/>
      </w:pPr>
      <w:r>
        <w:t xml:space="preserve">&lt;</w:t>
      </w:r>
    </w:p>
    <w:p>
      <w:pPr>
        <w:pStyle w:val="BodyText"/>
      </w:pPr>
      <w:r>
        <w:t xml:space="preserve">70</w:t>
      </w:r>
    </w:p>
    <w:p>
      <w:pPr>
        <w:pStyle w:val="BodyText"/>
      </w:pPr>
      <w:r>
        <w:t xml:space="preserve">+8 points</w:t>
      </w:r>
    </w:p>
    <w:bookmarkEnd w:id="22"/>
    <w:bookmarkStart w:id="26" w:name="X1a1f3c43a751c03fea5c524389963fe14a25ce8"/>
    <w:p>
      <w:pPr>
        <w:pStyle w:val="Heading2"/>
      </w:pPr>
      <w:r>
        <w:t xml:space="preserve">London-Specific Client Acquisition Strategy</w:t>
      </w:r>
    </w:p>
    <w:p>
      <w:pPr>
        <w:pStyle w:val="FirstParagraph"/>
      </w:pPr>
      <w:r>
        <w:t xml:space="preserve">The success of our Business Consultant operations in United Kingdom London stems from three geographically nuanced strategies:</w:t>
      </w:r>
    </w:p>
    <w:bookmarkStart w:id="23" w:name="X8c1db8b25b57eb7817051290b820a2c5c48bf5f"/>
    <w:p>
      <w:pPr>
        <w:pStyle w:val="Heading3"/>
      </w:pPr>
      <w:r>
        <w:t xml:space="preserve">1. Sector Specialization with Localized Expertise</w:t>
      </w:r>
    </w:p>
    <w:p>
      <w:pPr>
        <w:pStyle w:val="FirstParagraph"/>
      </w:pPr>
      <w:r>
        <w:t xml:space="preserve">We deployed London-specific industry teams: Fintech (Banking &amp; Payments), LegalTech, and Sustainable Retail. For instance, our Business Consultant specializing in ESG compliance for London-based asset managers secured £1.2M in Q3 by leveraging knowledge of the UK Transition Plan Taskforce framework – a critical differentiator over generic consultancy firms.</w:t>
      </w:r>
    </w:p>
    <w:bookmarkEnd w:id="23"/>
    <w:bookmarkStart w:id="24" w:name="hyper-local-network-development"/>
    <w:p>
      <w:pPr>
        <w:pStyle w:val="Heading3"/>
      </w:pPr>
      <w:r>
        <w:t xml:space="preserve">2. Hyper-Local Network Development</w:t>
      </w:r>
    </w:p>
    <w:p>
      <w:pPr>
        <w:pStyle w:val="FirstParagraph"/>
      </w:pPr>
      <w:r>
        <w:t xml:space="preserve">Strategic partnerships with London-centric organizations drove 65% of new leads:</w:t>
      </w:r>
    </w:p>
    <w:p>
      <w:pPr>
        <w:numPr>
          <w:ilvl w:val="0"/>
          <w:numId w:val="1002"/>
        </w:numPr>
        <w:pStyle w:val="Compact"/>
      </w:pPr>
      <w:r>
        <w:t xml:space="preserve">Citizens Advice London referral program (18 new leads)</w:t>
      </w:r>
    </w:p>
    <w:p>
      <w:pPr>
        <w:numPr>
          <w:ilvl w:val="0"/>
          <w:numId w:val="1002"/>
        </w:numPr>
        <w:pStyle w:val="Compact"/>
      </w:pPr>
      <w:r>
        <w:t xml:space="preserve">London Chamber of Commerce co-hosted workshops (24 qualified leads)</w:t>
      </w:r>
    </w:p>
    <w:p>
      <w:pPr>
        <w:numPr>
          <w:ilvl w:val="0"/>
          <w:numId w:val="1002"/>
        </w:numPr>
        <w:pStyle w:val="Compact"/>
      </w:pPr>
      <w:r>
        <w:t xml:space="preserve">University College London (UCL) business incubator collaboration</w:t>
      </w:r>
    </w:p>
    <w:bookmarkEnd w:id="24"/>
    <w:bookmarkStart w:id="25" w:name="digital-first-engagement-model"/>
    <w:p>
      <w:pPr>
        <w:pStyle w:val="Heading3"/>
      </w:pPr>
      <w:r>
        <w:t xml:space="preserve">3. Digital-First Engagement Model</w:t>
      </w:r>
    </w:p>
    <w:p>
      <w:pPr>
        <w:pStyle w:val="FirstParagraph"/>
      </w:pPr>
      <w:r>
        <w:t xml:space="preserve">Our London Business Consultant team pioneered an AI-powered client discovery platform that analyzes London-specific economic data (e.g., Westminster property market shifts, Crossrail impacts). This reduced initial consultation time by 40% while increasing conversion rates by 28% for the £50k+ contract segment.</w:t>
      </w:r>
    </w:p>
    <w:bookmarkEnd w:id="25"/>
    <w:bookmarkEnd w:id="26"/>
    <w:bookmarkStart w:id="27" w:name="X6e274d16d51981a474a774100d89ec01aa4abd2"/>
    <w:p>
      <w:pPr>
        <w:pStyle w:val="Heading2"/>
      </w:pPr>
      <w:r>
        <w:t xml:space="preserve">Challenges in the United Kingdom London Market</w:t>
      </w:r>
    </w:p>
    <w:p>
      <w:pPr>
        <w:pStyle w:val="FirstParagraph"/>
      </w:pPr>
      <w:r>
        <w:t xml:space="preserve">Despite strong performance, our Business Consultant operations faced significant London-specific hurdles:</w:t>
      </w:r>
    </w:p>
    <w:p>
      <w:pPr>
        <w:pStyle w:val="BodyText"/>
      </w:pPr>
      <w:r>
        <w:rPr>
          <w:bCs/>
          <w:b/>
        </w:rPr>
        <w:t xml:space="preserve">Talent Acquisition Pressure:</w:t>
      </w:r>
      <w:r>
        <w:t xml:space="preserve"> </w:t>
      </w:r>
      <w:r>
        <w:t xml:space="preserve">76% of London-based Business Consultants reported difficulty retaining senior consultants due to competitive offers from City firms (e.g., J.P. Morgan, Deloitte). Our solution: Launched a London-specific "City Partner Program" with flexible remote/hybrid options and £10k annual city bonus.</w:t>
      </w:r>
    </w:p>
    <w:p>
      <w:pPr>
        <w:pStyle w:val="BodyText"/>
      </w:pPr>
      <w:r>
        <w:t xml:space="preserve">Another critical challenge was navigating the rapidly evolving UK regulatory landscape. Post-Brexit customs regulations created confusion for logistics clients – our Business Consultant team developed a real-time compliance dashboard accessible to all London-based accounts, resolving 92% of client inquiries within 24 hours.</w:t>
      </w:r>
    </w:p>
    <w:bookmarkEnd w:id="27"/>
    <w:bookmarkStart w:id="28" w:name="future-outlook-strategic-recommendations"/>
    <w:p>
      <w:pPr>
        <w:pStyle w:val="Heading2"/>
      </w:pPr>
      <w:r>
        <w:t xml:space="preserve">Future Outlook &amp; Strategic Recommendations</w:t>
      </w:r>
    </w:p>
    <w:p>
      <w:pPr>
        <w:pStyle w:val="FirstParagraph"/>
      </w:pPr>
      <w:r>
        <w:t xml:space="preserve">Based on Q3 performance, we recommend the following priority actions for the Business Consultant division operating in United Kingdom London:</w:t>
      </w:r>
    </w:p>
    <w:p>
      <w:pPr>
        <w:numPr>
          <w:ilvl w:val="0"/>
          <w:numId w:val="1003"/>
        </w:numPr>
        <w:pStyle w:val="Compact"/>
      </w:pPr>
      <w:r>
        <w:rPr>
          <w:bCs/>
          <w:b/>
        </w:rPr>
        <w:t xml:space="preserve">Expand ESG Service Line:</w:t>
      </w:r>
      <w:r>
        <w:t xml:space="preserve"> </w:t>
      </w:r>
      <w:r>
        <w:t xml:space="preserve">Allocate £450k to build specialized ESG team focused on London's net-zero requirements (deadline: 2030). Projected £1.8M revenue by Q2 2024.</w:t>
      </w:r>
    </w:p>
    <w:p>
      <w:pPr>
        <w:numPr>
          <w:ilvl w:val="0"/>
          <w:numId w:val="1003"/>
        </w:numPr>
        <w:pStyle w:val="Compact"/>
      </w:pPr>
      <w:r>
        <w:rPr>
          <w:bCs/>
          <w:b/>
        </w:rPr>
        <w:t xml:space="preserve">Leverage London Data Hub:</w:t>
      </w:r>
      <w:r>
        <w:t xml:space="preserve"> </w:t>
      </w:r>
      <w:r>
        <w:t xml:space="preserve">Create a centralized repository of London-specific market intelligence (property trends, regulatory updates) for all Business Consultants to enhance proposal credibility.</w:t>
      </w:r>
    </w:p>
    <w:p>
      <w:pPr>
        <w:numPr>
          <w:ilvl w:val="0"/>
          <w:numId w:val="1003"/>
        </w:numPr>
        <w:pStyle w:val="Compact"/>
      </w:pPr>
      <w:r>
        <w:rPr>
          <w:bCs/>
          <w:b/>
        </w:rPr>
        <w:t xml:space="preserve">Premium Tier Offerings:</w:t>
      </w:r>
      <w:r>
        <w:t xml:space="preserve"> </w:t>
      </w:r>
      <w:r>
        <w:t xml:space="preserve">Introduce "City Executive Briefing" – monthly high-value sessions with City regulators for top 20 London clients. Target: 35% premium contract upsell by Q1 2024.</w:t>
      </w:r>
    </w:p>
    <w:p>
      <w:pPr>
        <w:numPr>
          <w:ilvl w:val="0"/>
          <w:numId w:val="1003"/>
        </w:numPr>
        <w:pStyle w:val="Compact"/>
      </w:pPr>
      <w:r>
        <w:rPr>
          <w:bCs/>
          <w:b/>
        </w:rPr>
        <w:t xml:space="preserve">Talent Development Program:</w:t>
      </w:r>
      <w:r>
        <w:t xml:space="preserve"> </w:t>
      </w:r>
      <w:r>
        <w:t xml:space="preserve">Establish a London Consultant Academy with partnerships to UCL and LSE to cultivate homegrown talent, addressing the retention challenge.</w:t>
      </w:r>
    </w:p>
    <w:bookmarkEnd w:id="28"/>
    <w:bookmarkStart w:id="29" w:name="conclusion"/>
    <w:p>
      <w:pPr>
        <w:pStyle w:val="Heading2"/>
      </w:pPr>
      <w:r>
        <w:t xml:space="preserve">Conclusion</w:t>
      </w:r>
    </w:p>
    <w:p>
      <w:pPr>
        <w:pStyle w:val="FirstParagraph"/>
      </w:pPr>
      <w:r>
        <w:t xml:space="preserve">The United Kingdom London market continues to demonstrate exceptional potential for our Business Consultant services when delivered with deep local expertise. Q3 2023 has cemented our position as the preferred strategic partner for London-based enterprises seeking transformational business outcomes. The 15% year-on-year revenue growth, coupled with a 92% client retention rate, proves that hyper-localized consultancy delivery in London drives measurable competitive advantage.</w:t>
      </w:r>
    </w:p>
    <w:p>
      <w:pPr>
        <w:pStyle w:val="BodyText"/>
      </w:pPr>
      <w:r>
        <w:t xml:space="preserve">As we move into Q4, our focus will intensify on scaling the successful strategies validated in London – particularly the ESG and regulatory compliance offerings – to other UK regions while maintaining our leadership position within this critical market. The Business Consultant team's ability to translate London's unique commercial complexities into actionable business value remains unmatched in the United Kingdom consultancy landscape.</w:t>
      </w:r>
    </w:p>
    <w:p>
      <w:pPr>
        <w:pStyle w:val="BodyText"/>
      </w:pPr>
      <w:r>
        <w:rPr>
          <w:iCs/>
          <w:i/>
        </w:rPr>
        <w:t xml:space="preserve">Prepared by: Strategic Sales Division | Date: October 15,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Business Consultant Services - United Kingdom London</dc:title>
  <dc:creator/>
  <dc:language>en</dc:language>
  <cp:keywords/>
  <dcterms:created xsi:type="dcterms:W3CDTF">2026-07-24T21:50:48Z</dcterms:created>
  <dcterms:modified xsi:type="dcterms:W3CDTF">2026-07-24T21:50:48Z</dcterms:modified>
</cp:coreProperties>
</file>

<file path=docProps/custom.xml><?xml version="1.0" encoding="utf-8"?>
<Properties xmlns="http://schemas.openxmlformats.org/officeDocument/2006/custom-properties" xmlns:vt="http://schemas.openxmlformats.org/officeDocument/2006/docPropsVTypes"/>
</file>