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Q3</w:t>
      </w:r>
      <w:r>
        <w:t xml:space="preserve"> </w:t>
      </w:r>
      <w:r>
        <w:t xml:space="preserve">2024</w:t>
      </w:r>
    </w:p>
    <w:bookmarkStart w:id="27" w:name="X6fce897fe27d3f6c442031eecd3cab79e9a17f3"/>
    <w:p>
      <w:pPr>
        <w:pStyle w:val="Heading1"/>
      </w:pPr>
      <w:r>
        <w:t xml:space="preserve">Sales Report: Business Consultant Performance in United Kingdom Manchester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UK Business Consulting Division</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performance of our Business Consultant team operating within the United Kingdom Manchester market during Q3 2024. The Manchester region continues to demonstrate robust demand for specialised business consultancy services, driven by economic diversification, post-pandemic recovery efforts, and strategic investment in key sectors. Our Business Consultant division achieved a 15% year-on-year growth in new client acquisitions within United Kingdom Manchester, securing £1.82M in new contract value – exceeding the regional target by 7%. This success underscores Manchester's position as a critical growth engine for our UK operations and validates our targeted approach to the local business ecosystem.</w:t>
      </w:r>
    </w:p>
    <w:bookmarkEnd w:id="20"/>
    <w:bookmarkStart w:id="21" w:name="X66bf9f1bd097b3e7b3a6c4f274cbe0bb0c8de52"/>
    <w:p>
      <w:pPr>
        <w:pStyle w:val="Heading2"/>
      </w:pPr>
      <w:r>
        <w:t xml:space="preserve">II. Manchester Market Analysis: The Context for Business Consultant Demand</w:t>
      </w:r>
    </w:p>
    <w:p>
      <w:pPr>
        <w:pStyle w:val="FirstParagraph"/>
      </w:pPr>
      <w:r>
        <w:t xml:space="preserve">Manchester remains a dynamic economic powerhouse within the United Kingdom, consistently ranked among the top cities outside London for business growth. Key factors driving demand for a Business Consultant include:</w:t>
      </w:r>
    </w:p>
    <w:p>
      <w:pPr>
        <w:numPr>
          <w:ilvl w:val="0"/>
          <w:numId w:val="1001"/>
        </w:numPr>
        <w:pStyle w:val="Compact"/>
      </w:pPr>
      <w:r>
        <w:rPr>
          <w:bCs/>
          <w:b/>
        </w:rPr>
        <w:t xml:space="preserve">Economic Diversification:</w:t>
      </w:r>
      <w:r>
        <w:t xml:space="preserve"> </w:t>
      </w:r>
      <w:r>
        <w:t xml:space="preserve">Manchester's shift from traditional manufacturing to digital media (MediaCityUK), fintech, advanced engineering, and green tech creates complex strategic challenges requiring expert guidance.</w:t>
      </w:r>
    </w:p>
    <w:p>
      <w:pPr>
        <w:numPr>
          <w:ilvl w:val="0"/>
          <w:numId w:val="1001"/>
        </w:numPr>
        <w:pStyle w:val="Compact"/>
      </w:pPr>
      <w:r>
        <w:rPr>
          <w:bCs/>
          <w:b/>
        </w:rPr>
        <w:t xml:space="preserve">Post-Pandemic Transformation:</w:t>
      </w:r>
      <w:r>
        <w:t xml:space="preserve"> </w:t>
      </w:r>
      <w:r>
        <w:t xml:space="preserve">Local SMEs are urgently seeking Business Consultant support to optimise hybrid work models, rebuild supply chains, and capitalise on rebounding sectors like hospitality and tourism.</w:t>
      </w:r>
    </w:p>
    <w:p>
      <w:pPr>
        <w:numPr>
          <w:ilvl w:val="0"/>
          <w:numId w:val="1001"/>
        </w:numPr>
        <w:pStyle w:val="Compact"/>
      </w:pPr>
      <w:r>
        <w:rPr>
          <w:bCs/>
          <w:b/>
        </w:rPr>
        <w:t xml:space="preserve">Government Initiatives:</w:t>
      </w:r>
      <w:r>
        <w:t xml:space="preserve"> </w:t>
      </w:r>
      <w:r>
        <w:t xml:space="preserve">The Greater Manchester Combined Authority's "GM 2040" strategy and UK government levelling-up funds are directly driving demand for consultants to help businesses align with regional growth frameworks.</w:t>
      </w:r>
    </w:p>
    <w:bookmarkEnd w:id="21"/>
    <w:bookmarkStart w:id="22" w:name="X5c8581b82c6fb9dc197c9f7da47bcee125644c0"/>
    <w:p>
      <w:pPr>
        <w:pStyle w:val="Heading2"/>
      </w:pPr>
      <w:r>
        <w:t xml:space="preserve">III. Business Consultant Service Performance in United Kingdom Manchester</w:t>
      </w:r>
    </w:p>
    <w:p>
      <w:pPr>
        <w:pStyle w:val="FirstParagraph"/>
      </w:pPr>
      <w:r>
        <w:t xml:space="preserve">Our Manchester-based Business Consultant team, comprising 14 senior practitioners with deep local market knowledge, focused on three core service pillars:</w:t>
      </w:r>
    </w:p>
    <w:p>
      <w:pPr>
        <w:numPr>
          <w:ilvl w:val="0"/>
          <w:numId w:val="1002"/>
        </w:numPr>
        <w:pStyle w:val="Compact"/>
      </w:pPr>
      <w:r>
        <w:rPr>
          <w:bCs/>
          <w:b/>
        </w:rPr>
        <w:t xml:space="preserve">Operational Efficiency &amp; Cost Reduction:</w:t>
      </w:r>
      <w:r>
        <w:t xml:space="preserve"> </w:t>
      </w:r>
      <w:r>
        <w:t xml:space="preserve">42% of new contracts (total £765K). Key clients included a Salford-based logistics firm reducing operational costs by 18% and a Manchester manufacturing SME implementing lean methodologies.</w:t>
      </w:r>
    </w:p>
    <w:p>
      <w:pPr>
        <w:numPr>
          <w:ilvl w:val="0"/>
          <w:numId w:val="1002"/>
        </w:numPr>
        <w:pStyle w:val="Compact"/>
      </w:pPr>
      <w:r>
        <w:rPr>
          <w:bCs/>
          <w:b/>
        </w:rPr>
        <w:t xml:space="preserve">Digital Transformation Strategy:</w:t>
      </w:r>
      <w:r>
        <w:t xml:space="preserve"> </w:t>
      </w:r>
      <w:r>
        <w:t xml:space="preserve">35% of new contracts (£637K). Notable projects: guiding a MediaCityUK media startup through scalable cloud infrastructure adoption and developing data analytics strategies for a Greater Manchester retail chain.</w:t>
      </w:r>
    </w:p>
    <w:p>
      <w:pPr>
        <w:numPr>
          <w:ilvl w:val="0"/>
          <w:numId w:val="1002"/>
        </w:numPr>
        <w:pStyle w:val="Compact"/>
      </w:pPr>
      <w:r>
        <w:rPr>
          <w:bCs/>
          <w:b/>
        </w:rPr>
        <w:t xml:space="preserve">Market Entry &amp; Growth Planning:</w:t>
      </w:r>
      <w:r>
        <w:t xml:space="preserve"> </w:t>
      </w:r>
      <w:r>
        <w:t xml:space="preserve">23% of new contracts (£420K). Examples include supporting a Northern tech scale-up in entering the German market and advising a Manchester-based sustainable fashion brand on expansion within the UK circular economy framework.</w:t>
      </w:r>
    </w:p>
    <w:bookmarkEnd w:id="22"/>
    <w:bookmarkStart w:id="23" w:name="Xc7ca14517d4cdf2f9bc240677ababccbda80dd9"/>
    <w:p>
      <w:pPr>
        <w:pStyle w:val="Heading2"/>
      </w:pPr>
      <w:r>
        <w:t xml:space="preserve">IV. Key Sales Metrics: United Kingdom Manchester Focus</w:t>
      </w:r>
    </w:p>
    <w:p>
      <w:pPr>
        <w:pStyle w:val="FirstParagraph"/>
      </w:pPr>
      <w:r>
        <w:t xml:space="preserve">The following metrics highlight our Business Consultant success story in Manchester:</w:t>
      </w:r>
    </w:p>
    <w:p>
      <w:pPr>
        <w:pStyle w:val="BodyText"/>
      </w:pPr>
      <w:r>
        <w:t xml:space="preserve">Performance Indicator</w:t>
      </w:r>
    </w:p>
    <w:p>
      <w:pPr>
        <w:pStyle w:val="BodyText"/>
      </w:pPr>
      <w:r>
        <w:t xml:space="preserve">Q3 2024 (Manchester)</w:t>
      </w:r>
    </w:p>
    <w:p>
      <w:pPr>
        <w:pStyle w:val="BodyText"/>
      </w:pPr>
      <w:r>
        <w:t xml:space="preserve">Q3 2023 (Manchester)</w:t>
      </w:r>
    </w:p>
    <w:p>
      <w:pPr>
        <w:pStyle w:val="BodyText"/>
      </w:pPr>
      <w:r>
        <w:t xml:space="preserve">YoY Change</w:t>
      </w:r>
    </w:p>
    <w:p>
      <w:pPr>
        <w:pStyle w:val="BodyText"/>
      </w:pPr>
      <w:r>
        <w:t xml:space="preserve">New Client Acquisition</w:t>
      </w:r>
    </w:p>
    <w:p>
      <w:pPr>
        <w:pStyle w:val="BodyText"/>
      </w:pPr>
      <w:r>
        <w:t xml:space="preserve">58</w:t>
      </w:r>
    </w:p>
    <w:p>
      <w:pPr>
        <w:pStyle w:val="BodyText"/>
      </w:pPr>
      <w:r>
        <w:t xml:space="preserve">46</w:t>
      </w:r>
    </w:p>
    <w:p>
      <w:pPr>
        <w:pStyle w:val="BodyText"/>
      </w:pPr>
      <w:r>
        <w:t xml:space="preserve">+26.1%</w:t>
      </w:r>
    </w:p>
    <w:p>
      <w:pPr>
        <w:pStyle w:val="BodyText"/>
      </w:pPr>
      <w:r>
        <w:t xml:space="preserve">Total New Contract Value (Manchester)</w:t>
      </w:r>
    </w:p>
    <w:p>
      <w:pPr>
        <w:pStyle w:val="BodyText"/>
      </w:pPr>
      <w:r>
        <w:t xml:space="preserve">£1,820,000</w:t>
      </w:r>
    </w:p>
    <w:p>
      <w:pPr>
        <w:pStyle w:val="BodyText"/>
      </w:pPr>
      <w:r>
        <w:t xml:space="preserve">£1,583,500</w:t>
      </w:r>
    </w:p>
    <w:p>
      <w:pPr>
        <w:pStyle w:val="BodyText"/>
      </w:pPr>
      <w:r>
        <w:rPr>
          <w:bCs/>
          <w:b/>
        </w:rPr>
        <w:t xml:space="preserve">+15.0%</w:t>
      </w:r>
    </w:p>
    <w:p>
      <w:pPr>
        <w:pStyle w:val="BodyText"/>
      </w:pPr>
      <w:r>
        <w:t xml:space="preserve">Average Contract Value (Manchester)</w:t>
      </w:r>
    </w:p>
    <w:p>
      <w:pPr>
        <w:pStyle w:val="BodyText"/>
      </w:pPr>
      <w:r>
        <w:t xml:space="preserve">£31,379</w:t>
      </w:r>
    </w:p>
    <w:p>
      <w:pPr>
        <w:pStyle w:val="BodyText"/>
      </w:pPr>
      <w:r>
        <w:t xml:space="preserve">£34,424</w:t>
      </w:r>
    </w:p>
    <w:p>
      <w:pPr>
        <w:pStyle w:val="BodyText"/>
      </w:pPr>
      <w:r>
        <w:t xml:space="preserve">-8.8%</w:t>
      </w:r>
    </w:p>
    <w:p>
      <w:pPr>
        <w:pStyle w:val="BodyText"/>
      </w:pPr>
      <w:r>
        <w:t xml:space="preserve">New Client Retention Rate (6mo)</w:t>
      </w:r>
    </w:p>
    <w:p>
      <w:pPr>
        <w:pStyle w:val="BodyText"/>
      </w:pPr>
      <w:r>
        <w:t xml:space="preserve">92%</w:t>
      </w:r>
    </w:p>
    <w:p>
      <w:pPr>
        <w:pStyle w:val="BodyText"/>
      </w:pPr>
      <w:r>
        <w:t xml:space="preserve">87%</w:t>
      </w:r>
    </w:p>
    <w:p>
      <w:pPr>
        <w:pStyle w:val="BodyText"/>
      </w:pPr>
      <w:r>
        <w:rPr>
          <w:bCs/>
          <w:b/>
        </w:rPr>
        <w:t xml:space="preserve">+5 pts</w:t>
      </w:r>
    </w:p>
    <w:p>
      <w:pPr>
        <w:pStyle w:val="BodyText"/>
      </w:pPr>
      <w:r>
        <w:t xml:space="preserve">The slightly lower average contract value reflects a strategic shift towards serving more SMEs (65% of new Manchester clients) who require focused, high-impact consultancy rather than large-scale projects. This aligns perfectly with Manchester's business landscape where 95% of enterprises are SMEs.</w:t>
      </w:r>
    </w:p>
    <w:bookmarkEnd w:id="23"/>
    <w:bookmarkStart w:id="24" w:name="X537e8a8e5967c517cdb74860fdde2c9459cafe7"/>
    <w:p>
      <w:pPr>
        <w:pStyle w:val="Heading2"/>
      </w:pPr>
      <w:r>
        <w:t xml:space="preserve">V. Client Success Story: Impact in United Kingdom Manchester</w:t>
      </w:r>
    </w:p>
    <w:p>
      <w:pPr>
        <w:pStyle w:val="FirstParagraph"/>
      </w:pPr>
      <w:r>
        <w:rPr>
          <w:bCs/>
          <w:b/>
        </w:rPr>
        <w:t xml:space="preserve">Client:</w:t>
      </w:r>
      <w:r>
        <w:t xml:space="preserve"> </w:t>
      </w:r>
      <w:r>
        <w:t xml:space="preserve">"Veridian Dynamics" (Manchester-based MedTech SME, 75 employees)</w:t>
      </w:r>
      <w:r>
        <w:br/>
      </w:r>
      <w:r>
        <w:rPr>
          <w:bCs/>
          <w:b/>
        </w:rPr>
        <w:t xml:space="preserve">Challenge:</w:t>
      </w:r>
      <w:r>
        <w:t xml:space="preserve"> </w:t>
      </w:r>
      <w:r>
        <w:t xml:space="preserve">Struggling with stagnant growth and operational inefficiencies hindering expansion into EU markets post-Brexit.</w:t>
      </w:r>
      <w:r>
        <w:br/>
      </w:r>
      <w:r>
        <w:rPr>
          <w:bCs/>
          <w:b/>
        </w:rPr>
        <w:t xml:space="preserve">Business Consultant Engagement:</w:t>
      </w:r>
      <w:r>
        <w:t xml:space="preserve"> </w:t>
      </w:r>
      <w:r>
        <w:t xml:space="preserve">Our Manchester team conducted a comprehensive operational audit and developed a tailored market-entry strategy focusing on German regulatory compliance, supply chain redesign, and digital sales enablement.</w:t>
      </w:r>
      <w:r>
        <w:br/>
      </w:r>
      <w:r>
        <w:rPr>
          <w:bCs/>
          <w:b/>
        </w:rPr>
        <w:t xml:space="preserve">Result (6 months):</w:t>
      </w:r>
    </w:p>
    <w:p>
      <w:pPr>
        <w:numPr>
          <w:ilvl w:val="0"/>
          <w:numId w:val="1003"/>
        </w:numPr>
        <w:pStyle w:val="Compact"/>
      </w:pPr>
      <w:r>
        <w:t xml:space="preserve">Secured 3 new EU distribution partnerships worth £420K annually.</w:t>
      </w:r>
    </w:p>
    <w:p>
      <w:pPr>
        <w:numPr>
          <w:ilvl w:val="0"/>
          <w:numId w:val="1003"/>
        </w:numPr>
        <w:pStyle w:val="Compact"/>
      </w:pPr>
      <w:r>
        <w:t xml:space="preserve">Reduced order fulfilment time by 28% through process optimisation.</w:t>
      </w:r>
    </w:p>
    <w:p>
      <w:pPr>
        <w:numPr>
          <w:ilvl w:val="0"/>
          <w:numId w:val="1003"/>
        </w:numPr>
        <w:pStyle w:val="Compact"/>
      </w:pPr>
      <w:r>
        <w:t xml:space="preserve">Saw a 35% increase in qualified inbound leads from the target European markets.</w:t>
      </w:r>
    </w:p>
    <w:bookmarkEnd w:id="24"/>
    <w:bookmarkStart w:id="25" w:name="X6ae4b06b05ba3d50e6900987c6b113714f01730"/>
    <w:p>
      <w:pPr>
        <w:pStyle w:val="Heading2"/>
      </w:pPr>
      <w:r>
        <w:t xml:space="preserve">VI. Strategic Recommendations for Q4 &amp; Beyond</w:t>
      </w:r>
    </w:p>
    <w:p>
      <w:pPr>
        <w:pStyle w:val="FirstParagraph"/>
      </w:pPr>
      <w:r>
        <w:t xml:space="preserve">Building on Manchester's strong performance, we recommend:</w:t>
      </w:r>
    </w:p>
    <w:p>
      <w:pPr>
        <w:numPr>
          <w:ilvl w:val="0"/>
          <w:numId w:val="1004"/>
        </w:numPr>
        <w:pStyle w:val="Compact"/>
      </w:pPr>
      <w:r>
        <w:rPr>
          <w:bCs/>
          <w:b/>
        </w:rPr>
        <w:t xml:space="preserve">Deepen SME Focus:</w:t>
      </w:r>
      <w:r>
        <w:t xml:space="preserve"> </w:t>
      </w:r>
      <w:r>
        <w:t xml:space="preserve">Launch a dedicated "Manchester Growth Sprint" package targeting SMEs in the green tech and digital services sectors, aligning with GM 2040 priorities.</w:t>
      </w:r>
    </w:p>
    <w:p>
      <w:pPr>
        <w:numPr>
          <w:ilvl w:val="0"/>
          <w:numId w:val="1004"/>
        </w:numPr>
        <w:pStyle w:val="Compact"/>
      </w:pPr>
      <w:r>
        <w:rPr>
          <w:bCs/>
          <w:b/>
        </w:rPr>
        <w:t xml:space="preserve">Leverage Local Partnerships:</w:t>
      </w:r>
      <w:r>
        <w:t xml:space="preserve"> </w:t>
      </w:r>
      <w:r>
        <w:t xml:space="preserve">Forge formal alliances with Manchester Chamber of Commerce, Business Manchester, and local universities (e.g., UMIST) for co-branded events and lead generation.</w:t>
      </w:r>
    </w:p>
    <w:p>
      <w:pPr>
        <w:numPr>
          <w:ilvl w:val="0"/>
          <w:numId w:val="1004"/>
        </w:numPr>
        <w:pStyle w:val="Compact"/>
      </w:pPr>
      <w:r>
        <w:rPr>
          <w:bCs/>
          <w:b/>
        </w:rPr>
        <w:t xml:space="preserve">Enhance Digital Sales Capability:</w:t>
      </w:r>
      <w:r>
        <w:t xml:space="preserve"> </w:t>
      </w:r>
      <w:r>
        <w:t xml:space="preserve">Develop Manchester-specific case studies and webinars addressing local challenges (e.g., "Navigating the Northern Powerhouse for Growth") to attract inbound leads.</w:t>
      </w:r>
    </w:p>
    <w:bookmarkEnd w:id="25"/>
    <w:bookmarkStart w:id="26" w:name="vii.-conclusion"/>
    <w:p>
      <w:pPr>
        <w:pStyle w:val="Heading2"/>
      </w:pPr>
      <w:r>
        <w:t xml:space="preserve">VII. Conclusion</w:t>
      </w:r>
    </w:p>
    <w:p>
      <w:pPr>
        <w:pStyle w:val="FirstParagraph"/>
      </w:pPr>
      <w:r>
        <w:t xml:space="preserve">The United Kingdom Manchester market remains a high-potential, high-reward region for Business Consultant services. Our Q3 results demonstrate that targeted expertise, deep local market understanding, and solutions tailored to Manchester's unique economic challenges directly drive sales growth and client satisfaction. The 15% YoY increase in new contract value is not merely a number; it represents tangible business transformation for Manchester companies navigating a complex commercial landscape.</w:t>
      </w:r>
    </w:p>
    <w:p>
      <w:pPr>
        <w:pStyle w:val="BodyText"/>
      </w:pPr>
      <w:r>
        <w:t xml:space="preserve">As we move into Q4, the focus must remain on leveraging our proven success in Manchester to secure deeper partnerships with the city's most dynamic businesses. Our Business Consultant team has established itself as an indispensable strategic partner within United Kingdom Manchester's business community. Continued investment in local expertise and relationship-building will solidify our position as the preferred Business Consultant for growth-focused organisations across Greater Manchester and beyond.</w:t>
      </w:r>
    </w:p>
    <w:p>
      <w:pPr>
        <w:pStyle w:val="BodyText"/>
      </w:pPr>
      <w:r>
        <w:rPr>
          <w:bCs/>
          <w:b/>
        </w:rPr>
        <w:t xml:space="preserve">Prepared By:</w:t>
      </w:r>
      <w:r>
        <w:t xml:space="preserve"> </w:t>
      </w:r>
      <w:r>
        <w:t xml:space="preserve">Sarah Jennings, Regional Sales Director (North West UK)</w:t>
      </w:r>
      <w:r>
        <w:br/>
      </w:r>
      <w:r>
        <w:rPr>
          <w:bCs/>
          <w:b/>
        </w:rPr>
        <w:t xml:space="preserve">Business Consultant Performance &amp;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Business Consultant Sales Report: Q3 2024</dc:title>
  <dc:creator/>
  <dc:language>en</dc:language>
  <cp:keywords/>
  <dcterms:created xsi:type="dcterms:W3CDTF">2026-07-25T00:04:16Z</dcterms:created>
  <dcterms:modified xsi:type="dcterms:W3CDTF">2026-07-25T00:04:16Z</dcterms:modified>
</cp:coreProperties>
</file>

<file path=docProps/custom.xml><?xml version="1.0" encoding="utf-8"?>
<Properties xmlns="http://schemas.openxmlformats.org/officeDocument/2006/custom-properties" xmlns:vt="http://schemas.openxmlformats.org/officeDocument/2006/docPropsVTypes"/>
</file>