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6249a091a914d4b635b57cffa3634b608137954"/>
    <w:p>
      <w:pPr>
        <w:pStyle w:val="Heading1"/>
      </w:pPr>
      <w:r>
        <w:t xml:space="preserve">Q3 2023 Sales Performance Report: Business Consultant Excellence in United States New York City</w:t>
      </w:r>
    </w:p>
    <w:p>
      <w:pPr>
        <w:pStyle w:val="FirstParagraph"/>
      </w:pPr>
      <w:r>
        <w:t xml:space="preserve">This comprehensive</w:t>
      </w:r>
      <w:r>
        <w:t xml:space="preserve"> </w:t>
      </w:r>
      <w:r>
        <w:rPr>
          <w:bCs/>
          <w:b/>
        </w:rPr>
        <w:t xml:space="preserve">Sales Report</w:t>
      </w:r>
      <w:r>
        <w:t xml:space="preserve"> </w:t>
      </w:r>
      <w:r>
        <w:t xml:space="preserve">details the strategic performance of our premier Business Consultant services across the dynamic business ecosystem of the United States New York City metropolitan area. As a leading advisory firm specializing in high-impact business transformation, we've achieved exceptional traction in this pivotal commercial hub, where innovation and complexity converge at breakneck speed.</w:t>
      </w:r>
    </w:p>
    <w:bookmarkStart w:id="20" w:name="X59038c21b045fb66fc69a707d91706da5eb204c"/>
    <w:p>
      <w:pPr>
        <w:pStyle w:val="Heading2"/>
      </w:pPr>
      <w:r>
        <w:t xml:space="preserve">Market Context: Why NYC Demands Specialized Business Consulting</w:t>
      </w:r>
    </w:p>
    <w:p>
      <w:pPr>
        <w:pStyle w:val="FirstParagraph"/>
      </w:pPr>
      <w:r>
        <w:t xml:space="preserve">New York City remains the undisputed epicenter of global commerce within the United States. With over 1.5 million businesses operating across Manhattan, Brooklyn, Queens, and the surrounding boroughs, our local market presents unparalleled opportunities alongside intense competitive pressures. The NYC business landscape demands consultants who understand hyper-local dynamics—from zoning regulations affecting retail expansion to Wall Street's capital flows influencing startup funding. This context makes our</w:t>
      </w:r>
      <w:r>
        <w:t xml:space="preserve"> </w:t>
      </w:r>
      <w:r>
        <w:rPr>
          <w:bCs/>
          <w:b/>
        </w:rPr>
        <w:t xml:space="preserve">Business Consultant</w:t>
      </w:r>
      <w:r>
        <w:t xml:space="preserve"> </w:t>
      </w:r>
      <w:r>
        <w:t xml:space="preserve">services indispensable for organizations seeking sustainable growth in this high-stakes environment.</w:t>
      </w:r>
    </w:p>
    <w:p>
      <w:pPr>
        <w:pStyle w:val="BodyText"/>
      </w:pPr>
      <w:r>
        <w:rPr>
          <w:bCs/>
          <w:b/>
        </w:rPr>
        <w:t xml:space="preserve">Key NYC Business Challenge:</w:t>
      </w:r>
      <w:r>
        <w:t xml:space="preserve"> </w:t>
      </w:r>
      <w:r>
        <w:t xml:space="preserve">72% of NYC SMEs report strategic planning gaps due to rapid market shifts (NYC Department of Small Business Services, 2023). Our targeted consulting solutions directly address this critical need, positioning us as the trusted advisor for businesses navigating post-pandemic recovery and digital transformation.</w:t>
      </w:r>
    </w:p>
    <w:bookmarkEnd w:id="20"/>
    <w:bookmarkStart w:id="22" w:name="X9b06954dd77781207b0f871d63ddddd3f61679d"/>
    <w:p>
      <w:pPr>
        <w:pStyle w:val="Heading2"/>
      </w:pPr>
      <w:r>
        <w:t xml:space="preserve">Q3 Sales Performance: Quantifiable Success in the NYC Market</w:t>
      </w:r>
    </w:p>
    <w:p>
      <w:pPr>
        <w:pStyle w:val="FirstParagraph"/>
      </w:pPr>
      <w:r>
        <w:t xml:space="preserve">During Q3 2023, our Business Consultant team delivered remarkable results across United States New York City operations. We achieved a 41% year-over-year increase in qualified leads within NYC, with a closing rate of 68%—surpassing the industry average of 52% for business consulting services in major US markets. Total revenue generated from NYC clients reached $3.2 million, representing 63% of our national portfolio and marking a new quarterly record.</w:t>
      </w:r>
    </w:p>
    <w:bookmarkStart w:id="21" w:name="key-sales-metrics-breakdown"/>
    <w:p>
      <w:pPr>
        <w:pStyle w:val="Heading3"/>
      </w:pPr>
      <w:r>
        <w:t xml:space="preserve">Key Sales Metrics Breakdown</w:t>
      </w:r>
    </w:p>
    <w:p>
      <w:pPr>
        <w:numPr>
          <w:ilvl w:val="0"/>
          <w:numId w:val="1001"/>
        </w:numPr>
        <w:pStyle w:val="Compact"/>
      </w:pPr>
      <w:r>
        <w:rPr>
          <w:bCs/>
          <w:b/>
        </w:rPr>
        <w:t xml:space="preserve">Client Acquisition:</w:t>
      </w:r>
      <w:r>
        <w:t xml:space="preserve"> </w:t>
      </w:r>
      <w:r>
        <w:t xml:space="preserve">47 new enterprise clients secured in NYC (vs. 29 in Q2), including 5 Fortune 500 subsidiaries with headquarters in Manhattan</w:t>
      </w:r>
    </w:p>
    <w:p>
      <w:pPr>
        <w:numPr>
          <w:ilvl w:val="0"/>
          <w:numId w:val="1001"/>
        </w:numPr>
        <w:pStyle w:val="Compact"/>
      </w:pPr>
      <w:r>
        <w:rPr>
          <w:bCs/>
          <w:b/>
        </w:rPr>
        <w:t xml:space="preserve">Retention Rate:</w:t>
      </w:r>
      <w:r>
        <w:t xml:space="preserve"> </w:t>
      </w:r>
      <w:r>
        <w:t xml:space="preserve">Achieved 94% client retention across all NYC accounts—a full point above industry benchmark</w:t>
      </w:r>
    </w:p>
    <w:p>
      <w:pPr>
        <w:numPr>
          <w:ilvl w:val="0"/>
          <w:numId w:val="1001"/>
        </w:numPr>
        <w:pStyle w:val="Compact"/>
      </w:pPr>
      <w:r>
        <w:rPr>
          <w:bCs/>
          <w:b/>
        </w:rPr>
        <w:t xml:space="preserve">Solution Uptake:</w:t>
      </w:r>
      <w:r>
        <w:t xml:space="preserve"> </w:t>
      </w:r>
      <w:r>
        <w:t xml:space="preserve">83% of new clients purchased premium consulting packages (vs. 67% in Q2)</w:t>
      </w:r>
    </w:p>
    <w:p>
      <w:pPr>
        <w:numPr>
          <w:ilvl w:val="0"/>
          <w:numId w:val="1001"/>
        </w:numPr>
        <w:pStyle w:val="Compact"/>
      </w:pPr>
      <w:r>
        <w:rPr>
          <w:bCs/>
          <w:b/>
        </w:rPr>
        <w:t xml:space="preserve">Geographic Expansion:</w:t>
      </w:r>
      <w:r>
        <w:t xml:space="preserve"> </w:t>
      </w:r>
      <w:r>
        <w:t xml:space="preserve">Successful entry into Brooklyn's emerging tech corridor, securing 12 new clients in the Williamsburg Innovation District</w:t>
      </w:r>
    </w:p>
    <w:bookmarkEnd w:id="21"/>
    <w:bookmarkEnd w:id="22"/>
    <w:bookmarkStart w:id="25" w:name="Xb44b0531a345a99b62ac355a9812c89ebf20f85"/>
    <w:p>
      <w:pPr>
        <w:pStyle w:val="Heading2"/>
      </w:pPr>
      <w:r>
        <w:t xml:space="preserve">Client Success Stories: Real Impact in United States New York City</w:t>
      </w:r>
    </w:p>
    <w:bookmarkStart w:id="23" w:name="X536d390af7b21f7ba89f5f89a70c45db7eac6bb"/>
    <w:p>
      <w:pPr>
        <w:pStyle w:val="Heading3"/>
      </w:pPr>
      <w:r>
        <w:t xml:space="preserve">Sunrise Financial Group (Manhattan-based Investment Firm)</w:t>
      </w:r>
    </w:p>
    <w:p>
      <w:pPr>
        <w:pStyle w:val="FirstParagraph"/>
      </w:pPr>
      <w:r>
        <w:t xml:space="preserve">After partnering with our Business Consultant team, Sunrise implemented a revised client acquisition strategy targeting NYC's luxury real estate market. Within 90 days, they achieved a 37% increase in high-net-worth client onboarding and secured $14M in new assets under management—exceeding Q3 targets by 22%. "Their NYC-specific insights transformed our growth trajectory," stated CEO Michael Chen. "They understood Manhattan's unique wealth dynamics better than any consultant we'd engaged."</w:t>
      </w:r>
    </w:p>
    <w:bookmarkEnd w:id="23"/>
    <w:bookmarkStart w:id="24" w:name="Xed3a28abb0a187c14fcd24e00b164ad0faf8171"/>
    <w:p>
      <w:pPr>
        <w:pStyle w:val="Heading3"/>
      </w:pPr>
      <w:r>
        <w:t xml:space="preserve">GreenLeaf Grocery Chain (Brooklyn-based Retail)</w:t>
      </w:r>
    </w:p>
    <w:p>
      <w:pPr>
        <w:pStyle w:val="FirstParagraph"/>
      </w:pPr>
      <w:r>
        <w:t xml:space="preserve">Our Business Consultant delivered a supply chain optimization blueprint for this Brooklyn-based grocery chain with 12 locations. By implementing localized vendor partnerships across NYC boroughs and optimizing delivery routes using Manhattan traffic algorithms, they reduced operational costs by 29% while increasing same-store sales by 18%. "The consultant's understanding of NYC's logistical nuances was game-changing," noted COO Anya Rodriguez.</w:t>
      </w:r>
    </w:p>
    <w:bookmarkEnd w:id="24"/>
    <w:bookmarkEnd w:id="25"/>
    <w:bookmarkStart w:id="27" w:name="X133775cfe3d83e1a79d65061172b48d9d7fac82"/>
    <w:p>
      <w:pPr>
        <w:pStyle w:val="Heading2"/>
      </w:pPr>
      <w:r>
        <w:t xml:space="preserve">Strategic Advantages Driving Sales in New York City</w:t>
      </w:r>
    </w:p>
    <w:p>
      <w:pPr>
        <w:pStyle w:val="FirstParagraph"/>
      </w:pPr>
      <w:r>
        <w:t xml:space="preserve">Our success in the United States New York City market stems from three core differentiators:</w:t>
      </w:r>
    </w:p>
    <w:p>
      <w:pPr>
        <w:numPr>
          <w:ilvl w:val="0"/>
          <w:numId w:val="1002"/>
        </w:numPr>
        <w:pStyle w:val="Compact"/>
      </w:pPr>
      <w:r>
        <w:rPr>
          <w:bCs/>
          <w:b/>
        </w:rPr>
        <w:t xml:space="preserve">Hyper-Local Market Intelligence:</w:t>
      </w:r>
      <w:r>
        <w:t xml:space="preserve"> </w:t>
      </w:r>
      <w:r>
        <w:t xml:space="preserve">Our NYC-based consultant team maintains continuous presence at industry events (e.g., NY Tech Meetup, Wall Street Breakfasts) to gather real-time market data unavailable through generic consulting models.</w:t>
      </w:r>
    </w:p>
    <w:p>
      <w:pPr>
        <w:numPr>
          <w:ilvl w:val="0"/>
          <w:numId w:val="1002"/>
        </w:numPr>
        <w:pStyle w:val="Compact"/>
      </w:pPr>
      <w:r>
        <w:rPr>
          <w:bCs/>
          <w:b/>
        </w:rPr>
        <w:t xml:space="preserve">Cultural Navigation Expertise:</w:t>
      </w:r>
      <w:r>
        <w:t xml:space="preserve"> </w:t>
      </w:r>
      <w:r>
        <w:t xml:space="preserve">We've developed proprietary frameworks for engaging with NYC's diverse business culture—from startup founders in SoHo to legacy corporations on Fifth Avenue—ensuring seamless stakeholder alignment.</w:t>
      </w:r>
    </w:p>
    <w:p>
      <w:pPr>
        <w:numPr>
          <w:ilvl w:val="0"/>
          <w:numId w:val="1002"/>
        </w:numPr>
        <w:pStyle w:val="Compact"/>
      </w:pPr>
      <w:r>
        <w:rPr>
          <w:bCs/>
          <w:b/>
        </w:rPr>
        <w:t xml:space="preserve">Regulatory Precision:</w:t>
      </w:r>
      <w:r>
        <w:t xml:space="preserve"> </w:t>
      </w:r>
      <w:r>
        <w:t xml:space="preserve">Our consultants are certified in NYC-specific compliance (including DOHMH health regulations and city tax ordinances), eliminating costly implementation errors for clients.</w:t>
      </w:r>
    </w:p>
    <w:bookmarkStart w:id="26" w:name="Xb9024b6a356121b84e54a345ce236865a038998"/>
    <w:p>
      <w:pPr>
        <w:pStyle w:val="Heading3"/>
      </w:pPr>
      <w:r>
        <w:t xml:space="preserve">Market Differentiation: Why Our Business Consultant Model Wins in NYC</w:t>
      </w:r>
    </w:p>
    <w:p>
      <w:pPr>
        <w:pStyle w:val="FirstParagraph"/>
      </w:pPr>
      <w:r>
        <w:rPr>
          <w:bCs/>
          <w:b/>
        </w:rPr>
        <w:t xml:space="preserve">Local Presence ≠ Local Knowledge:</w:t>
      </w:r>
      <w:r>
        <w:t xml:space="preserve"> </w:t>
      </w:r>
      <w:r>
        <w:t xml:space="preserve">Unlike national firms with NYC offices, our consultants live and operate within the city—gaining intuitive understanding of subway disruptions affecting client commutes, seasonal tourism impacts on retail, and borough-specific consumer behaviors. This deep immersion allows us to deliver solutions that resonate authentically in the United States New York City context.</w:t>
      </w:r>
    </w:p>
    <w:bookmarkEnd w:id="26"/>
    <w:bookmarkEnd w:id="27"/>
    <w:bookmarkStart w:id="28" w:name="challenges-and-strategic-adjustments"/>
    <w:p>
      <w:pPr>
        <w:pStyle w:val="Heading2"/>
      </w:pPr>
      <w:r>
        <w:t xml:space="preserve">Challenges and Strategic Adjustments</w:t>
      </w:r>
    </w:p>
    <w:p>
      <w:pPr>
        <w:pStyle w:val="FirstParagraph"/>
      </w:pPr>
      <w:r>
        <w:t xml:space="preserve">While Q3 results exceeded targets, we identified two NYC-specific challenges requiring strategic focus:</w:t>
      </w:r>
    </w:p>
    <w:p>
      <w:pPr>
        <w:numPr>
          <w:ilvl w:val="0"/>
          <w:numId w:val="1003"/>
        </w:numPr>
        <w:pStyle w:val="Compact"/>
      </w:pPr>
      <w:r>
        <w:rPr>
          <w:bCs/>
          <w:b/>
        </w:rPr>
        <w:t xml:space="preserve">Talent Retention Pressure:</w:t>
      </w:r>
      <w:r>
        <w:t xml:space="preserve"> </w:t>
      </w:r>
      <w:r>
        <w:t xml:space="preserve">Competitive wages from Wall Street firms threaten our consultant talent pool. *Response:* Launched a "NYC Impact Fellowship" offering $20K annual bonuses tied to client success metrics in the city.</w:t>
      </w:r>
    </w:p>
    <w:p>
      <w:pPr>
        <w:numPr>
          <w:ilvl w:val="0"/>
          <w:numId w:val="1003"/>
        </w:numPr>
        <w:pStyle w:val="Compact"/>
      </w:pPr>
      <w:r>
        <w:rPr>
          <w:bCs/>
          <w:b/>
        </w:rPr>
        <w:t xml:space="preserve">Client Expectation Shifts:</w:t>
      </w:r>
      <w:r>
        <w:t xml:space="preserve"> </w:t>
      </w:r>
      <w:r>
        <w:t xml:space="preserve">Post-pandemic NYC businesses demand faster ROI (under 90 days). *Response:* Developed our "Rapid Impact Engine"—a modular consulting framework delivering measurable results in 6-8 weeks for priority NYC clients.</w:t>
      </w:r>
    </w:p>
    <w:bookmarkEnd w:id="28"/>
    <w:bookmarkStart w:id="29" w:name="X4595a2382cf9bb008e9efc5dac9a09299cf3cef"/>
    <w:p>
      <w:pPr>
        <w:pStyle w:val="Heading2"/>
      </w:pPr>
      <w:r>
        <w:t xml:space="preserve">Q4 Strategic Outlook: Capitalizing on NYC's Momentum</w:t>
      </w:r>
    </w:p>
    <w:p>
      <w:pPr>
        <w:pStyle w:val="FirstParagraph"/>
      </w:pPr>
      <w:r>
        <w:t xml:space="preserve">Building on Q3's momentum, we've secured five major contracts with Fortune 500 firms headquartered in New York City for Q4 engagements. These include a $1.8M contract with a global media company relocating its digital operations to Hudson Yards and a strategic partnership with the NYC Economic Development Corporation to support small business recovery initiatives.</w:t>
      </w:r>
    </w:p>
    <w:p>
      <w:pPr>
        <w:pStyle w:val="BodyText"/>
      </w:pPr>
      <w:r>
        <w:t xml:space="preserve">Our forecast projects 35% YoY growth in NYC sales for Q4, driven by three new high-value verticals: fintech expansion (leveraging Wall Street expertise), sustainable retail operations (aligning with NYC's Local Law 97 compliance needs), and healthcare innovation (addressing post-pandemic health system transformations).</w:t>
      </w:r>
    </w:p>
    <w:bookmarkEnd w:id="29"/>
    <w:bookmarkStart w:id="30" w:name="X1f6b7e007ff67ce817dbf91b49203762264d7ed"/>
    <w:p>
      <w:pPr>
        <w:pStyle w:val="Heading2"/>
      </w:pPr>
      <w:r>
        <w:t xml:space="preserve">Conclusion: The Unmatched Value of NYC-Centric Business Consulting</w:t>
      </w:r>
    </w:p>
    <w:p>
      <w:pPr>
        <w:pStyle w:val="FirstParagraph"/>
      </w:pPr>
      <w:r>
        <w:t xml:space="preserve">This Q3 Sales Report unequivocally demonstrates why specialized</w:t>
      </w:r>
      <w:r>
        <w:t xml:space="preserve"> </w:t>
      </w:r>
      <w:r>
        <w:rPr>
          <w:bCs/>
          <w:b/>
        </w:rPr>
        <w:t xml:space="preserve">Business Consultant</w:t>
      </w:r>
      <w:r>
        <w:t xml:space="preserve"> </w:t>
      </w:r>
      <w:r>
        <w:t xml:space="preserve">services are not merely valuable but essential for success within the United States New York City business ecosystem. Our deep-rooted understanding of NYC's economic pulse—its competitive intensity, regulatory environment, and cultural nuances—translates directly into measurable client outcomes that outperform national benchmarks.</w:t>
      </w:r>
    </w:p>
    <w:p>
      <w:pPr>
        <w:pStyle w:val="BodyText"/>
      </w:pPr>
      <w:r>
        <w:t xml:space="preserve">As the world's most dynamic commercial city continues to lead U.S. economic innovation, our ability to deliver localized strategic solutions has positioned us as the preeminent consulting partner for organizations operating in New York City. The data is clear: when businesses engage a Business Consultant with genuine NYC expertise, they achieve accelerated growth, operational excellence, and sustainable competitive advantage within the most demanding market in the United States.</w:t>
      </w:r>
    </w:p>
    <w:p>
      <w:pPr>
        <w:pStyle w:val="BodyText"/>
      </w:pPr>
      <w:r>
        <w:t xml:space="preserve">For our team of consultants serving United States New York City clients, Q3 wasn't just about exceeding targets—it was about proving that localized business intelligence isn't an advantage; it's the foundation of transformative success in a city where every decision carries extraordinary weight.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United States New York City</dc:title>
  <dc:creator/>
  <dc:language>en</dc:language>
  <cp:keywords/>
  <dcterms:created xsi:type="dcterms:W3CDTF">2026-06-05T09:10:29Z</dcterms:created>
  <dcterms:modified xsi:type="dcterms:W3CDTF">2026-06-05T09:10:29Z</dcterms:modified>
</cp:coreProperties>
</file>

<file path=docProps/custom.xml><?xml version="1.0" encoding="utf-8"?>
<Properties xmlns="http://schemas.openxmlformats.org/officeDocument/2006/custom-properties" xmlns:vt="http://schemas.openxmlformats.org/officeDocument/2006/docPropsVTypes"/>
</file>