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73e7934100e4556c69892060f8be6e888bf0646"/>
    <w:p>
      <w:pPr>
        <w:pStyle w:val="Heading1"/>
      </w:pPr>
      <w:r>
        <w:t xml:space="preserve">Comprehensive Sales Report: Business Consultant Services in Uzbekistan Tashkent</w:t>
      </w:r>
    </w:p>
    <w:bookmarkStart w:id="20" w:name="introduction"/>
    <w:p>
      <w:pPr>
        <w:pStyle w:val="Heading2"/>
      </w:pPr>
      <w:r>
        <w:t xml:space="preserve">Introduction</w:t>
      </w:r>
    </w:p>
    <w:p>
      <w:pPr>
        <w:pStyle w:val="FirstParagraph"/>
      </w:pPr>
      <w:r>
        <w:t xml:space="preserve">This comprehensive Sales Report details the performance of our premium Business Consultant services within the dynamic economic landscape of Uzbekistan Tashkent. As the capital city and economic hub of Uzbekistan, Tashkent represents a critical market for business transformation, with rapidly evolving opportunities in manufacturing, agriculture, technology, and trade. This report covers Q3 2023 performance metrics, strategic client engagements, market insights specific to Uzbekistan Tashkent's business environment, and forward-looking recommendations. The success of our Business Consultant team in this region directly contributes to our global service excellence while adapting to Uzbekistan's unique cultural and economic context.</w:t>
      </w:r>
    </w:p>
    <w:bookmarkEnd w:id="20"/>
    <w:bookmarkStart w:id="21" w:name="X212f415e64e1debe20873870139694c4e608f06"/>
    <w:p>
      <w:pPr>
        <w:pStyle w:val="Heading2"/>
      </w:pPr>
      <w:r>
        <w:t xml:space="preserve">Market Analysis: Uzbekistan Tashkent Economic Landscape</w:t>
      </w:r>
    </w:p>
    <w:p>
      <w:pPr>
        <w:pStyle w:val="FirstParagraph"/>
      </w:pPr>
      <w:r>
        <w:t xml:space="preserve">Tashkent, as the heart of Uzbekistan's economic engine, has witnessed significant growth since the country's strategic reforms began in 2016. The Business Consultant team has closely monitored key indicators including a 7.3% GDP expansion in 2023 (World Bank), rising foreign direct investment (FDI) inflows (+19% YoY), and the government's "Strategy-2030" initiatives targeting export diversification. Our market analysis confirms that Tashkent-based enterprises increasingly seek external expertise to navigate regulatory complexities, implement digital transformation, and access international markets – precisely the core competencies of our Business Consultant service package.</w:t>
      </w:r>
    </w:p>
    <w:p>
      <w:pPr>
        <w:pStyle w:val="BodyText"/>
      </w:pPr>
      <w:r>
        <w:t xml:space="preserve">Notably, Uzbekistan Tashkent's business ecosystem presents distinctive advantages: a young workforce (60% under 35), strategic Central Asian location bridging Asia-Europe trade routes, and government incentives for foreign partnerships. However, challenges persist including bureaucratic inefficiencies in permit processing (average 42 days versus regional average of 28) and limited digital infrastructure in SMEs. Our Business Consultant team has developed tailored frameworks to address these Uzbekistan-specific barriers through localized implementation strategies.</w:t>
      </w:r>
    </w:p>
    <w:bookmarkEnd w:id="21"/>
    <w:bookmarkStart w:id="22" w:name="sales-performance-highlights"/>
    <w:p>
      <w:pPr>
        <w:pStyle w:val="Heading2"/>
      </w:pPr>
      <w:r>
        <w:t xml:space="preserve">Sales Performance Highlights</w:t>
      </w:r>
    </w:p>
    <w:p>
      <w:pPr>
        <w:pStyle w:val="FirstParagraph"/>
      </w:pPr>
      <w:r>
        <w:t xml:space="preserve">Q3 2023 delivered exceptional results for our Business Consultant services across Tashkent, achieving 117% of quarterly targets. Key metrics include:</w:t>
      </w:r>
    </w:p>
    <w:p>
      <w:pPr>
        <w:numPr>
          <w:ilvl w:val="0"/>
          <w:numId w:val="1001"/>
        </w:numPr>
        <w:pStyle w:val="Compact"/>
      </w:pPr>
      <w:r>
        <w:rPr>
          <w:bCs/>
          <w:b/>
        </w:rPr>
        <w:t xml:space="preserve">Revenue Growth:</w:t>
      </w:r>
      <w:r>
        <w:t xml:space="preserve"> </w:t>
      </w:r>
      <w:r>
        <w:t xml:space="preserve">$485,000 (35% increase YoY), driven by three major enterprise contracts with Tashkent-based agribusiness conglomerates</w:t>
      </w:r>
    </w:p>
    <w:p>
      <w:pPr>
        <w:numPr>
          <w:ilvl w:val="0"/>
          <w:numId w:val="1001"/>
        </w:numPr>
        <w:pStyle w:val="Compact"/>
      </w:pPr>
      <w:r>
        <w:rPr>
          <w:bCs/>
          <w:b/>
        </w:rPr>
        <w:t xml:space="preserve">New Client Acquisition:</w:t>
      </w:r>
      <w:r>
        <w:t xml:space="preserve"> </w:t>
      </w:r>
      <w:r>
        <w:t xml:space="preserve">12 new clients in Uzbekistan Tashkent, including two Fortune 500 subsidiaries of national champions like "Uzneftegaz" and "Uztransgas"</w:t>
      </w:r>
    </w:p>
    <w:p>
      <w:pPr>
        <w:numPr>
          <w:ilvl w:val="0"/>
          <w:numId w:val="1001"/>
        </w:numPr>
        <w:pStyle w:val="Compact"/>
      </w:pPr>
      <w:r>
        <w:rPr>
          <w:bCs/>
          <w:b/>
        </w:rPr>
        <w:t xml:space="preserve">Client Retention Rate:</w:t>
      </w:r>
      <w:r>
        <w:t xml:space="preserve"> </w:t>
      </w:r>
      <w:r>
        <w:t xml:space="preserve">92% (exceeding global average of 83%), with repeat business from Tashkent manufacturing firms expanding their engagement scope</w:t>
      </w:r>
    </w:p>
    <w:p>
      <w:pPr>
        <w:numPr>
          <w:ilvl w:val="0"/>
          <w:numId w:val="1001"/>
        </w:numPr>
        <w:pStyle w:val="Compact"/>
      </w:pPr>
      <w:r>
        <w:rPr>
          <w:bCs/>
          <w:b/>
        </w:rPr>
        <w:t xml:space="preserve">Project Completion Rate:</w:t>
      </w:r>
      <w:r>
        <w:t xml:space="preserve"> </w:t>
      </w:r>
      <w:r>
        <w:t xml:space="preserve">100% on-time delivery for all Business Consultant engagements in Uzbekistan Tashkent</w:t>
      </w:r>
    </w:p>
    <w:p>
      <w:pPr>
        <w:pStyle w:val="FirstParagraph"/>
      </w:pPr>
      <w:r>
        <w:t xml:space="preserve">The flagship project involved a $220,000 strategic transformation for Tashkent's largest textile manufacturer. Our Business Consultant team implemented an export optimization framework that reduced logistics costs by 31% and secured contracts with EU buyers – directly aligning with Uzbekistan's "Export Development Program" priorities.</w:t>
      </w:r>
    </w:p>
    <w:bookmarkEnd w:id="22"/>
    <w:bookmarkStart w:id="23" w:name="Xd207c307ce35bbf3c4afe0a9b3339bee43dc609"/>
    <w:p>
      <w:pPr>
        <w:pStyle w:val="Heading2"/>
      </w:pPr>
      <w:r>
        <w:t xml:space="preserve">Client Acquisition Strategy in Uzbekistan Tashkent</w:t>
      </w:r>
    </w:p>
    <w:p>
      <w:pPr>
        <w:pStyle w:val="FirstParagraph"/>
      </w:pPr>
      <w:r>
        <w:t xml:space="preserve">Our success in attracting clients within Uzbekistan Tashkent stems from a hyper-localized approach. The Business Consultant team established strategic partnerships with key institutions including:</w:t>
      </w:r>
    </w:p>
    <w:p>
      <w:pPr>
        <w:numPr>
          <w:ilvl w:val="0"/>
          <w:numId w:val="1002"/>
        </w:numPr>
        <w:pStyle w:val="Compact"/>
      </w:pPr>
      <w:r>
        <w:t xml:space="preserve">Tashkent Chamber of Commerce and Industry (TCCI) for market intelligence sharing</w:t>
      </w:r>
    </w:p>
    <w:p>
      <w:pPr>
        <w:numPr>
          <w:ilvl w:val="0"/>
          <w:numId w:val="1002"/>
        </w:numPr>
        <w:pStyle w:val="Compact"/>
      </w:pPr>
      <w:r>
        <w:t xml:space="preserve">Uzbekistan State University of Economics for joint research initiatives</w:t>
      </w:r>
    </w:p>
    <w:p>
      <w:pPr>
        <w:numPr>
          <w:ilvl w:val="0"/>
          <w:numId w:val="1002"/>
        </w:numPr>
        <w:pStyle w:val="Compact"/>
      </w:pPr>
      <w:r>
        <w:t xml:space="preserve">Government agencies like the Ministry of Economy to align services with national reform agendas</w:t>
      </w:r>
    </w:p>
    <w:p>
      <w:pPr>
        <w:pStyle w:val="FirstParagraph"/>
      </w:pPr>
      <w:r>
        <w:t xml:space="preserve">A critical differentiator has been our bilingual (English/Uzbek) service delivery model. Our Business Consultant staff completed intensive Uzbek language training, enabling seamless communication during client meetings across Tashkent's business districts (Mirzo-Ulugbek, Chilanzar). This cultural adaptation was instrumental in securing contracts with family-owned businesses that previously resisted foreign consultants due to language barriers.</w:t>
      </w:r>
    </w:p>
    <w:bookmarkEnd w:id="23"/>
    <w:bookmarkStart w:id="24" w:name="overcoming-market-challenges"/>
    <w:p>
      <w:pPr>
        <w:pStyle w:val="Heading2"/>
      </w:pPr>
      <w:r>
        <w:t xml:space="preserve">Overcoming Market Challenges</w:t>
      </w:r>
    </w:p>
    <w:p>
      <w:pPr>
        <w:pStyle w:val="FirstParagraph"/>
      </w:pPr>
      <w:r>
        <w:t xml:space="preserve">Operating within Uzbekistan Tashkent presented unique challenges requiring innovative solutions. When bureaucratic delays threatened a critical digital transformation project for a Tashkent energy client, our Business Consultant team implemented the following measures:</w:t>
      </w:r>
    </w:p>
    <w:p>
      <w:pPr>
        <w:numPr>
          <w:ilvl w:val="0"/>
          <w:numId w:val="1003"/>
        </w:numPr>
        <w:pStyle w:val="Compact"/>
      </w:pPr>
      <w:r>
        <w:t xml:space="preserve">Partnered with local legal firm "UzLegal Advisors" for expedited permit processing</w:t>
      </w:r>
    </w:p>
    <w:p>
      <w:pPr>
        <w:numPr>
          <w:ilvl w:val="0"/>
          <w:numId w:val="1003"/>
        </w:numPr>
        <w:pStyle w:val="Compact"/>
      </w:pPr>
      <w:r>
        <w:t xml:space="preserve">Developed a dedicated Uzbekistan regulatory compliance module included in all service packages</w:t>
      </w:r>
    </w:p>
    <w:p>
      <w:pPr>
        <w:numPr>
          <w:ilvl w:val="0"/>
          <w:numId w:val="1003"/>
        </w:numPr>
        <w:pStyle w:val="Compact"/>
      </w:pPr>
      <w:r>
        <w:t xml:space="preserve">Conducted weekly stakeholder alignment workshops with government representatives at Tashkent's Economic Development Center</w:t>
      </w:r>
    </w:p>
    <w:p>
      <w:pPr>
        <w:pStyle w:val="FirstParagraph"/>
      </w:pPr>
      <w:r>
        <w:t xml:space="preserve">These actions reduced project timelines by 40% and became a benchmark for our Business Consultant methodology. Additionally, we established a Tashkent-based support hub to provide 24/7 local assistance – a solution directly addressing feedback from Uzbekistan clients regarding time zone challenges in international consulting.</w:t>
      </w:r>
    </w:p>
    <w:bookmarkEnd w:id="24"/>
    <w:bookmarkStart w:id="25" w:name="X2ca3bc37a4730482f4e8b4fcdc6604a66db7037"/>
    <w:p>
      <w:pPr>
        <w:pStyle w:val="Heading2"/>
      </w:pPr>
      <w:r>
        <w:t xml:space="preserve">Future Growth Strategy for Uzbekistan Tashkent</w:t>
      </w:r>
    </w:p>
    <w:p>
      <w:pPr>
        <w:pStyle w:val="FirstParagraph"/>
      </w:pPr>
      <w:r>
        <w:t xml:space="preserve">Building on our Q3 successes, the Sales Report outlines aggressive expansion plans specifically for Uzbekistan Tashkent through 2024:</w:t>
      </w:r>
    </w:p>
    <w:p>
      <w:pPr>
        <w:numPr>
          <w:ilvl w:val="0"/>
          <w:numId w:val="1004"/>
        </w:numPr>
        <w:pStyle w:val="Compact"/>
      </w:pPr>
      <w:r>
        <w:rPr>
          <w:bCs/>
          <w:b/>
        </w:rPr>
        <w:t xml:space="preserve">SME Specialization:</w:t>
      </w:r>
      <w:r>
        <w:t xml:space="preserve"> </w:t>
      </w:r>
      <w:r>
        <w:t xml:space="preserve">Launching "Tashkent SME Accelerator" program targeting 50 new small businesses with subsidized Business Consultant packages</w:t>
      </w:r>
    </w:p>
    <w:p>
      <w:pPr>
        <w:numPr>
          <w:ilvl w:val="0"/>
          <w:numId w:val="1004"/>
        </w:numPr>
        <w:pStyle w:val="Compact"/>
      </w:pPr>
      <w:r>
        <w:rPr>
          <w:bCs/>
          <w:b/>
        </w:rPr>
        <w:t xml:space="preserve">Digital Transformation Focus:</w:t>
      </w:r>
      <w:r>
        <w:t xml:space="preserve"> </w:t>
      </w:r>
      <w:r>
        <w:t xml:space="preserve">Developing Uzbek-language AI tools to analyze local market data (initially targeting Tashkent's emerging tech parks)</w:t>
      </w:r>
    </w:p>
    <w:p>
      <w:pPr>
        <w:numPr>
          <w:ilvl w:val="0"/>
          <w:numId w:val="1004"/>
        </w:numPr>
        <w:pStyle w:val="Compact"/>
      </w:pPr>
      <w:r>
        <w:rPr>
          <w:bCs/>
          <w:b/>
        </w:rPr>
        <w:t xml:space="preserve">Government Collaboration:</w:t>
      </w:r>
      <w:r>
        <w:t xml:space="preserve"> </w:t>
      </w:r>
      <w:r>
        <w:t xml:space="preserve">Formalizing partnership with Uzbekistan's State Agency for Entrepreneurship Development for joint training initiatives</w:t>
      </w:r>
    </w:p>
    <w:p>
      <w:pPr>
        <w:numPr>
          <w:ilvl w:val="0"/>
          <w:numId w:val="1004"/>
        </w:numPr>
        <w:pStyle w:val="Compact"/>
      </w:pPr>
      <w:r>
        <w:rPr>
          <w:bCs/>
          <w:b/>
        </w:rPr>
        <w:t xml:space="preserve">Talent Development:</w:t>
      </w:r>
      <w:r>
        <w:t xml:space="preserve"> </w:t>
      </w:r>
      <w:r>
        <w:t xml:space="preserve">Hiring 8 new Uzbek nationals as Business Consultant associates by Q2 2024 to strengthen local expertise</w:t>
      </w:r>
    </w:p>
    <w:p>
      <w:pPr>
        <w:pStyle w:val="FirstParagraph"/>
      </w:pPr>
      <w:r>
        <w:t xml:space="preserve">A key strategic objective is to position our Business Consultant services as the premier choice for enterprises pursuing Uzbekistan's "Digital Economy" roadmap. The Tashkent office will lead regional efforts in the Central Asian market, leveraging our success in this specific market to expand into Kazakhstan and Kyrgyzstan.</w:t>
      </w:r>
    </w:p>
    <w:bookmarkEnd w:id="25"/>
    <w:bookmarkStart w:id="26" w:name="conclusion"/>
    <w:p>
      <w:pPr>
        <w:pStyle w:val="Heading2"/>
      </w:pPr>
      <w:r>
        <w:t xml:space="preserve">Conclusion</w:t>
      </w:r>
    </w:p>
    <w:p>
      <w:pPr>
        <w:pStyle w:val="FirstParagraph"/>
      </w:pPr>
      <w:r>
        <w:t xml:space="preserve">This Sales Report confirms that our Business Consultant services have achieved exceptional traction within Uzbekistan Tashkent, driving measurable economic impact for local enterprises while establishing a sustainable growth model. The synergy between global consulting expertise and deep cultural understanding of Uzbekistan's business environment has been the cornerstone of our success. As Tashkent continues its transformation into a regional economic powerhouse, our Business Consultant team remains strategically positioned to deliver outsized value through tailored solutions that respect Uzbekistan's development priorities.</w:t>
      </w:r>
    </w:p>
    <w:p>
      <w:pPr>
        <w:pStyle w:val="BodyText"/>
      </w:pPr>
      <w:r>
        <w:t xml:space="preserve">Looking ahead, we project 40% revenue growth in Uzbekistan Tashkent for 2024 by doubling down on local partnerships and adapting our service delivery to match the rapid pace of economic reforms. This Sales Report serves as both a performance evaluation and strategic blueprint, demonstrating how our Business Consultant approach delivers tangible results within Uzbekistan's evolving marketplace. The path forward is clear: deepen localization, expand digital capabilities, and continue building trust across Tashkent's business community as we support Uzbekistan's journey toward sustainable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Uzbekistan Tashkent</dc:title>
  <dc:creator/>
  <dc:language>en</dc:language>
  <cp:keywords/>
  <dcterms:created xsi:type="dcterms:W3CDTF">2025-12-11T16:19:39Z</dcterms:created>
  <dcterms:modified xsi:type="dcterms:W3CDTF">2025-12-11T16:19:39Z</dcterms:modified>
</cp:coreProperties>
</file>

<file path=docProps/custom.xml><?xml version="1.0" encoding="utf-8"?>
<Properties xmlns="http://schemas.openxmlformats.org/officeDocument/2006/custom-properties" xmlns:vt="http://schemas.openxmlformats.org/officeDocument/2006/docPropsVTypes"/>
</file>