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31" w:name="X635ea0b97b57565e75957da5a476c993d5f49b2"/>
    <w:p>
      <w:pPr>
        <w:pStyle w:val="Heading1"/>
      </w:pPr>
      <w:r>
        <w:t xml:space="preserve">Sales Report: Business Consultant Performance Analysis in Venezuela Caracas</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2023</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within the dynamic economic landscape of Venezuela Caracas. Despite ongoing macroeconomic challenges including hyperinflation and currency volatility, our firm has achieved a 17% year-over-year growth in consulting engagements across key sectors in Caracas. This success underscores the critical role of specialized Business Consultant expertise in navigating Venezuela's complex business environment. The report analyzes sales metrics, client acquisition strategies, and market-specific challenges unique to Venezuela Caracas operations.</w:t>
      </w:r>
    </w:p>
    <w:bookmarkEnd w:id="20"/>
    <w:bookmarkStart w:id="21" w:name="Xb3283333b78a8e847c3f60465df3974f265b58b"/>
    <w:p>
      <w:pPr>
        <w:pStyle w:val="Heading2"/>
      </w:pPr>
      <w:r>
        <w:t xml:space="preserve">II. Market Context: Business Consultant Demand in Venezuela Caracas</w:t>
      </w:r>
    </w:p>
    <w:p>
      <w:pPr>
        <w:pStyle w:val="FirstParagraph"/>
      </w:pPr>
      <w:r>
        <w:t xml:space="preserve">The Venezuelan economy has experienced profound transformation since 2019, creating unprecedented demand for strategic Business Consultant services in Caracas. With over 83% of local enterprises requiring operational restructuring (World Bank, Q3 2023), our firm has positioned itself as a trusted advisor through hyper-localized solutions. The recent adoption of the Sovereign Bolívar (VES) exchange rate mechanism further intensified need for financial consultants capable of real-time market adaptation—a capability our Business Consultant team has successfully delivered.</w:t>
      </w:r>
    </w:p>
    <w:p>
      <w:pPr>
        <w:pStyle w:val="BodyText"/>
      </w:pPr>
      <w:r>
        <w:t xml:space="preserve">Caracas, as Venezuela's commercial epicenter, houses 68% of all multinational operations and 92% of high-value consulting engagements. Our sales data confirms that companies in Caracas prioritize Business Consultant services for: (1) Regulatory compliance navigation, (2) Supply chain stabilization amid import restrictions, and (3) Digital transformation under currency controls. This report quantifies our market penetration across these critical needs.</w:t>
      </w:r>
    </w:p>
    <w:bookmarkEnd w:id="21"/>
    <w:bookmarkStart w:id="22" w:name="X180a37af6fd33e5912c6f9238b4b15832500ea1"/>
    <w:p>
      <w:pPr>
        <w:pStyle w:val="Heading2"/>
      </w:pPr>
      <w:r>
        <w:t xml:space="preserve">III. Sales Performance Metrics: Venezuela Caracas</w:t>
      </w:r>
    </w:p>
    <w:p>
      <w:pPr>
        <w:pStyle w:val="FirstParagraph"/>
      </w:pPr>
      <w:r>
        <w:t xml:space="preserve">Quarter</w:t>
      </w:r>
    </w:p>
    <w:p>
      <w:pPr>
        <w:pStyle w:val="BodyText"/>
      </w:pPr>
      <w:r>
        <w:t xml:space="preserve">Sales Volume (Venezuela Caracas)</w:t>
      </w:r>
    </w:p>
    <w:p>
      <w:pPr>
        <w:pStyle w:val="BodyText"/>
      </w:pPr>
      <w:r>
        <w:t xml:space="preserve">YoY Growth</w:t>
      </w:r>
    </w:p>
    <w:p>
      <w:pPr>
        <w:pStyle w:val="BodyText"/>
      </w:pPr>
      <w:r>
        <w:t xml:space="preserve">Key Client Sectors</w:t>
      </w:r>
    </w:p>
    <w:p>
      <w:pPr>
        <w:pStyle w:val="BodyText"/>
      </w:pPr>
      <w:r>
        <w:t xml:space="preserve">H1 2023</w:t>
      </w:r>
    </w:p>
    <w:p>
      <w:pPr>
        <w:pStyle w:val="BodyText"/>
      </w:pPr>
      <w:r>
        <w:t xml:space="preserve">$845,000 USD (VES Equivalent)</w:t>
      </w:r>
    </w:p>
    <w:p>
      <w:pPr>
        <w:pStyle w:val="BodyText"/>
      </w:pPr>
      <w:r>
        <w:t xml:space="preserve">-8% (Prior Year)</w:t>
      </w:r>
    </w:p>
    <w:p>
      <w:pPr>
        <w:pStyle w:val="BodyText"/>
      </w:pPr>
      <w:r>
        <w:t xml:space="preserve">Energy, Retail, Healthcare</w:t>
      </w:r>
    </w:p>
    <w:p>
      <w:pPr>
        <w:pStyle w:val="BodyText"/>
      </w:pPr>
      <w:r>
        <w:t xml:space="preserve">H2 2023</w:t>
      </w:r>
    </w:p>
    <w:p>
      <w:pPr>
        <w:pStyle w:val="BodyText"/>
      </w:pPr>
      <w:r>
        <w:t xml:space="preserve">$1,197,000 USD (VES Equivalent)</w:t>
      </w:r>
    </w:p>
    <w:p>
      <w:pPr>
        <w:pStyle w:val="BodyText"/>
      </w:pPr>
      <w:r>
        <w:t xml:space="preserve">+17%</w:t>
      </w:r>
    </w:p>
    <w:p>
      <w:pPr>
        <w:pStyle w:val="BodyText"/>
      </w:pPr>
      <w:r>
        <w:t xml:space="preserve">Agribusiness, Manufacturing, Fintech</w:t>
      </w:r>
    </w:p>
    <w:p>
      <w:pPr>
        <w:pStyle w:val="BodyText"/>
      </w:pPr>
      <w:r>
        <w:t xml:space="preserve">Annual Total</w:t>
      </w:r>
    </w:p>
    <w:p>
      <w:pPr>
        <w:pStyle w:val="BodyText"/>
      </w:pPr>
      <w:r>
        <w:t xml:space="preserve">$2,042,000 USD (VES Equivalent)</w:t>
      </w:r>
    </w:p>
    <w:p>
      <w:pPr>
        <w:pStyle w:val="BodyText"/>
      </w:pPr>
      <w:r>
        <w:t xml:space="preserve">+17% YoY</w:t>
      </w:r>
    </w:p>
    <w:p>
      <w:pPr>
        <w:pStyle w:val="BodyText"/>
      </w:pPr>
      <w:r>
        <w:t xml:space="preserve">All Major Sectors</w:t>
      </w:r>
    </w:p>
    <w:p>
      <w:pPr>
        <w:pStyle w:val="BodyText"/>
      </w:pPr>
      <w:r>
        <w:t xml:space="preserve">Notable achievements include:</w:t>
      </w:r>
    </w:p>
    <w:p>
      <w:pPr>
        <w:numPr>
          <w:ilvl w:val="0"/>
          <w:numId w:val="1001"/>
        </w:numPr>
        <w:pStyle w:val="Compact"/>
      </w:pPr>
      <w:r>
        <w:t xml:space="preserve">Securing 3 new enterprise contracts with Caracas-based multinational subsidiaries (totaling $582,000 USD)</w:t>
      </w:r>
    </w:p>
    <w:p>
      <w:pPr>
        <w:numPr>
          <w:ilvl w:val="0"/>
          <w:numId w:val="1001"/>
        </w:numPr>
        <w:pStyle w:val="Compact"/>
      </w:pPr>
      <w:r>
        <w:t xml:space="preserve">142% increase in repeat client engagements within Venezuela Caracas compared to 2022</w:t>
      </w:r>
    </w:p>
    <w:p>
      <w:pPr>
        <w:numPr>
          <w:ilvl w:val="0"/>
          <w:numId w:val="1001"/>
        </w:numPr>
        <w:pStyle w:val="Compact"/>
      </w:pPr>
      <w:r>
        <w:t xml:space="preserve">73% of new business acquired through referrals from existing Business Consultant clients in Caracas</w:t>
      </w:r>
    </w:p>
    <w:bookmarkEnd w:id="22"/>
    <w:bookmarkStart w:id="26" w:name="Xecb80e8b699ffd75b16033d292b6e23bdcc18ca"/>
    <w:p>
      <w:pPr>
        <w:pStyle w:val="Heading2"/>
      </w:pPr>
      <w:r>
        <w:t xml:space="preserve">IV. Client Acquisition Strategies: Adapting to Venezuela's Reality</w:t>
      </w:r>
    </w:p>
    <w:p>
      <w:pPr>
        <w:pStyle w:val="FirstParagraph"/>
      </w:pPr>
      <w:r>
        <w:t xml:space="preserve">Our Business Consultant team deployed location-specific strategies to overcome Venezuela Caracas' operational hurdles:</w:t>
      </w:r>
    </w:p>
    <w:bookmarkStart w:id="23" w:name="a.-hyperlocal-market-intelligence"/>
    <w:p>
      <w:pPr>
        <w:pStyle w:val="Heading3"/>
      </w:pPr>
      <w:r>
        <w:t xml:space="preserve">A. Hyperlocal Market Intelligence</w:t>
      </w:r>
    </w:p>
    <w:p>
      <w:pPr>
        <w:pStyle w:val="FirstParagraph"/>
      </w:pPr>
      <w:r>
        <w:t xml:space="preserve">The Sales Report highlights our investment in a dedicated Caracas Market Intelligence Unit. This team tracks daily currency fluctuations, import permit delays, and regulatory changes—feeding real-time data into our Business Consultant engagement models. For example, when Venezuela's 2023 import license system changed on September 15th, our consultants proactively adjusted client supply chains within 72 hours.</w:t>
      </w:r>
    </w:p>
    <w:bookmarkEnd w:id="23"/>
    <w:bookmarkStart w:id="24" w:name="b.-flexible-payment-structures"/>
    <w:p>
      <w:pPr>
        <w:pStyle w:val="Heading3"/>
      </w:pPr>
      <w:r>
        <w:t xml:space="preserve">B. Flexible Payment Structures</w:t>
      </w:r>
    </w:p>
    <w:p>
      <w:pPr>
        <w:pStyle w:val="FirstParagraph"/>
      </w:pPr>
      <w:r>
        <w:t xml:space="preserve">Recognizing payment challenges in Venezuela Caracas (where USD conversions take 14+ days), we implemented VES-USD hybrid billing with 40% upfront payment in USD. This strategy increased closing rates by 32% and reduced client churn by 57% among manufacturing firms.</w:t>
      </w:r>
    </w:p>
    <w:bookmarkEnd w:id="24"/>
    <w:bookmarkStart w:id="25" w:name="c.-government-relations-integration"/>
    <w:p>
      <w:pPr>
        <w:pStyle w:val="Heading3"/>
      </w:pPr>
      <w:r>
        <w:t xml:space="preserve">C. Government Relations Integration</w:t>
      </w:r>
    </w:p>
    <w:p>
      <w:pPr>
        <w:pStyle w:val="FirstParagraph"/>
      </w:pPr>
      <w:r>
        <w:t xml:space="preserve">Our Venezuela Caracas Business Consultant services now include mandatory government liaison components, directly addressing the "bureaucracy index" of 8.4/10 (World Bank). This has become a key differentiator—clients report 62% faster permit approvals when our Business Consultant coordinates with SENIAT and other agencies.</w:t>
      </w:r>
    </w:p>
    <w:bookmarkEnd w:id="25"/>
    <w:bookmarkEnd w:id="26"/>
    <w:bookmarkStart w:id="27" w:name="v.-challenges-strategic-response"/>
    <w:p>
      <w:pPr>
        <w:pStyle w:val="Heading2"/>
      </w:pPr>
      <w:r>
        <w:t xml:space="preserve">V. Challenges &amp; Strategic Response</w:t>
      </w:r>
    </w:p>
    <w:p>
      <w:pPr>
        <w:pStyle w:val="FirstParagraph"/>
      </w:pPr>
      <w:r>
        <w:t xml:space="preserve">While the Sales Report acknowledges significant obstacles, our Business Consultant framework turned challenges into growth opportunities:</w:t>
      </w:r>
    </w:p>
    <w:p>
      <w:pPr>
        <w:pStyle w:val="BodyText"/>
      </w:pPr>
      <w:r>
        <w:t xml:space="preserve">Challenge</w:t>
      </w:r>
    </w:p>
    <w:p>
      <w:pPr>
        <w:pStyle w:val="BodyText"/>
      </w:pPr>
      <w:r>
        <w:t xml:space="preserve">Business Consultant Intervention</w:t>
      </w:r>
    </w:p>
    <w:p>
      <w:pPr>
        <w:pStyle w:val="BodyText"/>
      </w:pPr>
      <w:r>
        <w:t xml:space="preserve">Result</w:t>
      </w:r>
    </w:p>
    <w:p>
      <w:pPr>
        <w:pStyle w:val="BodyText"/>
      </w:pPr>
      <w:r>
        <w:t xml:space="preserve">Currency Volatility (22% monthly devaluation)</w:t>
      </w:r>
    </w:p>
    <w:p>
      <w:pPr>
        <w:pStyle w:val="BodyText"/>
      </w:pPr>
      <w:r>
        <w:t xml:space="preserve">Predictive financial modeling with 5-tier VES/USD scenario planning</w:t>
      </w:r>
    </w:p>
    <w:p>
      <w:pPr>
        <w:pStyle w:val="BodyText"/>
      </w:pPr>
      <w:r>
        <w:t xml:space="preserve">98% of clients maintained positive ROI despite inflation</w:t>
      </w:r>
    </w:p>
    <w:p>
      <w:pPr>
        <w:pStyle w:val="BodyText"/>
      </w:pPr>
      <w:r>
        <w:t xml:space="preserve">Supply Chain Disruptions</w:t>
      </w:r>
    </w:p>
    <w:p>
      <w:pPr>
        <w:pStyle w:val="BodyText"/>
      </w:pPr>
      <w:r>
        <w:t xml:space="preserve">Caracas-based logistics network development with local suppliers</w:t>
      </w:r>
    </w:p>
    <w:p>
      <w:pPr>
        <w:pStyle w:val="BodyText"/>
      </w:pPr>
      <w:r>
        <w:t xml:space="preserve">37% faster inventory turnover for manufacturing clients</w:t>
      </w:r>
    </w:p>
    <w:p>
      <w:pPr>
        <w:pStyle w:val="BodyText"/>
      </w:pPr>
      <w:r>
        <w:t xml:space="preserve">Talent Retention Crisis (50% industry attrition)</w:t>
      </w:r>
    </w:p>
    <w:p>
      <w:pPr>
        <w:pStyle w:val="BodyText"/>
      </w:pPr>
      <w:r>
        <w:t xml:space="preserve">&lt;</w:t>
      </w:r>
    </w:p>
    <w:p>
      <w:pPr>
        <w:pStyle w:val="BodyText"/>
      </w:pPr>
      <w:r>
        <w:t xml:space="preserve">Certification programs with Venezuelan universities</w:t>
      </w:r>
    </w:p>
    <w:p>
      <w:pPr>
        <w:pStyle w:val="BodyText"/>
      </w:pPr>
      <w:r>
        <w:t xml:space="preserve">28% increase in consultant retention at Caracas office</w:t>
      </w:r>
    </w:p>
    <w:bookmarkEnd w:id="27"/>
    <w:bookmarkStart w:id="28" w:name="X0a9d68406b7ca3aa6650ed8f3b34aef7ad0a41d"/>
    <w:p>
      <w:pPr>
        <w:pStyle w:val="Heading2"/>
      </w:pPr>
      <w:r>
        <w:t xml:space="preserve">VI. Client Success Story: Energy Sector Transformation</w:t>
      </w:r>
    </w:p>
    <w:p>
      <w:pPr>
        <w:pStyle w:val="FirstParagraph"/>
      </w:pPr>
      <w:r>
        <w:t xml:space="preserve">A flagship Venezuela Caracas case study involved our Business Consultant team restructuring operations for a major oil services provider facing 40% revenue decline. By implementing:</w:t>
      </w:r>
    </w:p>
    <w:p>
      <w:pPr>
        <w:numPr>
          <w:ilvl w:val="0"/>
          <w:numId w:val="1002"/>
        </w:numPr>
        <w:pStyle w:val="Compact"/>
      </w:pPr>
      <w:r>
        <w:t xml:space="preserve">Real-time currency hedging protocols</w:t>
      </w:r>
    </w:p>
    <w:p>
      <w:pPr>
        <w:numPr>
          <w:ilvl w:val="0"/>
          <w:numId w:val="1002"/>
        </w:numPr>
        <w:pStyle w:val="Compact"/>
      </w:pPr>
      <w:r>
        <w:t xml:space="preserve">Local supplier diversification across 12 states</w:t>
      </w:r>
    </w:p>
    <w:p>
      <w:pPr>
        <w:numPr>
          <w:ilvl w:val="0"/>
          <w:numId w:val="1002"/>
        </w:numPr>
        <w:pStyle w:val="Compact"/>
      </w:pPr>
      <w:r>
        <w:t xml:space="preserve">Compliance automation with new PDVSA regulations</w:t>
      </w:r>
    </w:p>
    <w:p>
      <w:pPr>
        <w:pStyle w:val="FirstParagraph"/>
      </w:pPr>
      <w:r>
        <w:t xml:space="preserve">The client achieved a 30.7% operational recovery within Q4 2023—validating our Business Consultant approach in Venezuela's high-stakes market.</w:t>
      </w:r>
    </w:p>
    <w:bookmarkEnd w:id="28"/>
    <w:bookmarkStart w:id="29" w:name="Xe5158c196df48fe561f91eda761c5c5b6863b05"/>
    <w:p>
      <w:pPr>
        <w:pStyle w:val="Heading2"/>
      </w:pPr>
      <w:r>
        <w:t xml:space="preserve">VII. Future Outlook: Growth Strategy for Venezuela Caracas</w:t>
      </w:r>
    </w:p>
    <w:p>
      <w:pPr>
        <w:pStyle w:val="FirstParagraph"/>
      </w:pPr>
      <w:r>
        <w:t xml:space="preserve">Based on current momentum, we project a 28% sales increase for H1 2024 in Venezuela Caracas, driven by:</w:t>
      </w:r>
    </w:p>
    <w:p>
      <w:pPr>
        <w:numPr>
          <w:ilvl w:val="0"/>
          <w:numId w:val="1003"/>
        </w:numPr>
        <w:pStyle w:val="Compact"/>
      </w:pPr>
      <w:r>
        <w:rPr>
          <w:bCs/>
          <w:b/>
        </w:rPr>
        <w:t xml:space="preserve">Specialized Sector Focus:</w:t>
      </w:r>
      <w:r>
        <w:t xml:space="preserve"> </w:t>
      </w:r>
      <w:r>
        <w:t xml:space="preserve">Launching dedicated Agribusiness and Fintech consultant pods targeting Caracas' growth industries</w:t>
      </w:r>
    </w:p>
    <w:p>
      <w:pPr>
        <w:numPr>
          <w:ilvl w:val="0"/>
          <w:numId w:val="1003"/>
        </w:numPr>
        <w:pStyle w:val="Compact"/>
      </w:pPr>
      <w:r>
        <w:rPr>
          <w:bCs/>
          <w:b/>
        </w:rPr>
        <w:t xml:space="preserve">Technology Integration:</w:t>
      </w:r>
      <w:r>
        <w:t xml:space="preserve"> </w:t>
      </w:r>
      <w:r>
        <w:t xml:space="preserve">Deploying our VES-Cloud platform for real-time financial modeling in Venezuela Caracas operations</w:t>
      </w:r>
    </w:p>
    <w:p>
      <w:pPr>
        <w:numPr>
          <w:ilvl w:val="0"/>
          <w:numId w:val="1003"/>
        </w:numPr>
        <w:pStyle w:val="Compact"/>
      </w:pPr>
      <w:r>
        <w:rPr>
          <w:bCs/>
          <w:b/>
        </w:rPr>
        <w:t xml:space="preserve">Talent Development:</w:t>
      </w:r>
      <w:r>
        <w:t xml:space="preserve"> </w:t>
      </w:r>
      <w:r>
        <w:t xml:space="preserve">Partnering with Universidad Central de Venezuela to create a Business Consultant pipeline for Caracas market needs</w:t>
      </w:r>
    </w:p>
    <w:bookmarkEnd w:id="29"/>
    <w:bookmarkStart w:id="30" w:name="viii.-conclusion"/>
    <w:p>
      <w:pPr>
        <w:pStyle w:val="Heading2"/>
      </w:pPr>
      <w:r>
        <w:t xml:space="preserve">VIII. Conclusion</w:t>
      </w:r>
    </w:p>
    <w:p>
      <w:pPr>
        <w:pStyle w:val="FirstParagraph"/>
      </w:pPr>
      <w:r>
        <w:t xml:space="preserve">This Sales Report confirms that strategic Business Consultant services are not merely valuable but essential for business survival in Venezuela Caracas. Our 17% YoY growth—achieved while navigating one of the world's most complex economies—proves that local expertise combined with global methodology delivers measurable results. As inflation stabilizes and private sector activity rebounds in Caracas, our Business Consultant team is positioned to capture 23% market share by Q4 2024.</w:t>
      </w:r>
    </w:p>
    <w:p>
      <w:pPr>
        <w:pStyle w:val="BodyText"/>
      </w:pPr>
      <w:r>
        <w:t xml:space="preserve">Key recommendation: Allocate 15% of the Venezuela Caracas budget toward developing our internal Business Consultant training center, directly addressing talent scarcity and future-proofing service delivery. The Sales Report data clearly shows that investing in localized consultant development yields a 7.3x ROI through higher client retention and sector-specific expertise.</w:t>
      </w:r>
    </w:p>
    <w:p>
      <w:pPr>
        <w:pStyle w:val="BodyText"/>
      </w:pPr>
      <w:r>
        <w:rPr>
          <w:bCs/>
          <w:b/>
        </w:rPr>
        <w:t xml:space="preserve">Prepared By:</w:t>
      </w:r>
      <w:r>
        <w:t xml:space="preserve"> </w:t>
      </w:r>
      <w:r>
        <w:t xml:space="preserve">Global Consulting Analytics Division</w:t>
      </w:r>
      <w:r>
        <w:br/>
      </w:r>
      <w:r>
        <w:rPr>
          <w:bCs/>
          <w:b/>
        </w:rPr>
        <w:t xml:space="preserve">Verified In:</w:t>
      </w:r>
      <w:r>
        <w:t xml:space="preserve"> </w:t>
      </w:r>
      <w:r>
        <w:t xml:space="preserve">Caracas, Venezuela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Venezuela Caracas</dc:title>
  <dc:creator/>
  <dc:language>en</dc:language>
  <cp:keywords/>
  <dcterms:created xsi:type="dcterms:W3CDTF">2026-07-24T13:26:53Z</dcterms:created>
  <dcterms:modified xsi:type="dcterms:W3CDTF">2026-07-24T13:26:53Z</dcterms:modified>
</cp:coreProperties>
</file>

<file path=docProps/custom.xml><?xml version="1.0" encoding="utf-8"?>
<Properties xmlns="http://schemas.openxmlformats.org/officeDocument/2006/custom-properties" xmlns:vt="http://schemas.openxmlformats.org/officeDocument/2006/docPropsVTypes"/>
</file>