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8" w:name="X8468e44c9683a95100c040c64a1a9ea454932c8"/>
    <w:p>
      <w:pPr>
        <w:pStyle w:val="Heading1"/>
      </w:pPr>
      <w:r>
        <w:t xml:space="preserve">Annual Sales Report: Premium Carpentry Solutions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Stakeholders and Executive Leadership</w:t>
      </w:r>
      <w:r>
        <w:br/>
      </w:r>
      <w:r>
        <w:rPr>
          <w:bCs/>
          <w:b/>
        </w:rPr>
        <w:t xml:space="preserve">From:</w:t>
      </w:r>
      <w:r>
        <w:t xml:space="preserve"> </w:t>
      </w:r>
      <w:r>
        <w:t xml:space="preserve">Sales Department, Brussels Woodcraft Ltd.</w:t>
      </w:r>
      <w:r>
        <w:br/>
      </w:r>
    </w:p>
    <w:p>
      <w:pPr>
        <w:pStyle w:val="BodyText"/>
      </w:pPr>
      <w:r>
        <w:t xml:space="preserve">Subject: Comprehensive Analysis of Carpenter Operations in Belgium Brussels Market</w:t>
      </w:r>
    </w:p>
    <w:bookmarkStart w:id="20" w:name="i.-executive-summary"/>
    <w:p>
      <w:pPr>
        <w:pStyle w:val="Heading2"/>
      </w:pPr>
      <w:r>
        <w:t xml:space="preserve">I. Executive Summary</w:t>
      </w:r>
    </w:p>
    <w:p>
      <w:pPr>
        <w:pStyle w:val="FirstParagraph"/>
      </w:pPr>
      <w:r>
        <w:t xml:space="preserve">This Sales Report details the performance of our premium carpentry services across Belgium's capital region, Brussels. As a leading independent Carpenter operating since 2015, we've achieved a remarkable 18% year-over-year growth in sales revenue within the Brussels metropolitan area. Our strategic focus on bespoke wooden installations for both residential and commercial clients has positioned us as a trusted partner for high-end carpentry solutions in Belgium Brussels. This report validates our market leadership while identifying actionable opportunities for further expansion across the region.</w:t>
      </w:r>
    </w:p>
    <w:bookmarkEnd w:id="20"/>
    <w:bookmarkStart w:id="21" w:name="Xac8128b6e86f9070c3a0366be9bc2fce32b9b32"/>
    <w:p>
      <w:pPr>
        <w:pStyle w:val="Heading2"/>
      </w:pPr>
      <w:r>
        <w:t xml:space="preserve">II. Market Context: The Carpenter Landscape in Belgium Brussels</w:t>
      </w:r>
    </w:p>
    <w:p>
      <w:pPr>
        <w:pStyle w:val="FirstParagraph"/>
      </w:pPr>
      <w:r>
        <w:t xml:space="preserve">Belgium Brussels presents a unique commercial ecosystem where traditional craftsmanship meets modern architectural demands. With over 1,200 registered carpentry businesses operating within 30km of central Brussels, our competitive edge lies in our specialized approach to sustainable timber solutions and heritage restoration projects. The city's stringent building codes (notably the Belgian Construction Decree of 2021) have elevated demand for certified Carpenter services, particularly for historic district renovations in areas like Marolles and Saint-Gilles. Our sales data confirms that 67% of our Brussels clientele specifically sought us out due to our FSC-certified wood sourcing – a critical differentiator in this eco-conscious market.</w:t>
      </w:r>
    </w:p>
    <w:bookmarkEnd w:id="21"/>
    <w:bookmarkStart w:id="22" w:name="X492482c4584c30b8cfb5f0b778f9675c0f4c034"/>
    <w:p>
      <w:pPr>
        <w:pStyle w:val="Heading2"/>
      </w:pPr>
      <w:r>
        <w:t xml:space="preserve">III. Sales Performance Highlights (Q1 2023 - Q3 2023)</w:t>
      </w:r>
    </w:p>
    <w:p>
      <w:pPr>
        <w:pStyle w:val="FirstParagraph"/>
      </w:pPr>
      <w:r>
        <w:t xml:space="preserve">Segment</w:t>
      </w:r>
    </w:p>
    <w:p>
      <w:pPr>
        <w:pStyle w:val="BodyText"/>
      </w:pPr>
      <w:r>
        <w:t xml:space="preserve">Revenue (€)</w:t>
      </w:r>
    </w:p>
    <w:p>
      <w:pPr>
        <w:pStyle w:val="BodyText"/>
      </w:pPr>
      <w:r>
        <w:t xml:space="preserve">% Growth vs. 2022</w:t>
      </w:r>
    </w:p>
    <w:p>
      <w:pPr>
        <w:pStyle w:val="BodyText"/>
      </w:pPr>
      <w:r>
        <w:t xml:space="preserve">Key Projects in Belgium Brussels</w:t>
      </w:r>
    </w:p>
    <w:p>
      <w:pPr>
        <w:pStyle w:val="BodyText"/>
      </w:pPr>
      <w:r>
        <w:t xml:space="preserve">Residential Renovations</w:t>
      </w:r>
    </w:p>
    <w:p>
      <w:pPr>
        <w:pStyle w:val="BodyText"/>
      </w:pPr>
      <w:r>
        <w:t xml:space="preserve">€485,000</w:t>
      </w:r>
    </w:p>
    <w:p>
      <w:pPr>
        <w:pStyle w:val="BodyText"/>
      </w:pPr>
      <w:r>
        <w:t xml:space="preserve">+22%</w:t>
      </w:r>
    </w:p>
    <w:p>
      <w:pPr>
        <w:pStyle w:val="BodyText"/>
      </w:pPr>
      <w:r>
        <w:t xml:space="preserve">Hôtel de Ville apartment restorations, Sablon district loft conversions</w:t>
      </w:r>
    </w:p>
    <w:p>
      <w:pPr>
        <w:pStyle w:val="BodyText"/>
      </w:pPr>
      <w:r>
        <w:t xml:space="preserve">Commercial Installations</w:t>
      </w:r>
    </w:p>
    <w:p>
      <w:pPr>
        <w:pStyle w:val="BodyText"/>
      </w:pPr>
      <w:r>
        <w:t xml:space="preserve">€312,500</w:t>
      </w:r>
    </w:p>
    <w:p>
      <w:pPr>
        <w:pStyle w:val="BodyText"/>
      </w:pPr>
      <w:r>
        <w:t xml:space="preserve">+14%</w:t>
      </w:r>
    </w:p>
    <w:p>
      <w:pPr>
        <w:pStyle w:val="BodyText"/>
      </w:pPr>
      <w:r>
        <w:t xml:space="preserve">Premier office builds (Brussels South Station complex), luxury retail spaces in Place de la Bourse</w:t>
      </w:r>
    </w:p>
    <w:p>
      <w:pPr>
        <w:pStyle w:val="BodyText"/>
      </w:pPr>
      <w:r>
        <w:t xml:space="preserve">Heritage Conservation</w:t>
      </w:r>
    </w:p>
    <w:p>
      <w:pPr>
        <w:pStyle w:val="BodyText"/>
      </w:pPr>
      <w:r>
        <w:t xml:space="preserve">€198,750</w:t>
      </w:r>
    </w:p>
    <w:p>
      <w:pPr>
        <w:pStyle w:val="BodyText"/>
      </w:pPr>
      <w:r>
        <w:t xml:space="preserve">+35%</w:t>
      </w:r>
    </w:p>
    <w:p>
      <w:pPr>
        <w:pStyle w:val="BodyText"/>
      </w:pPr>
      <w:r>
        <w:t xml:space="preserve">Cathedral of St. Michael &amp; Gudula timber repairs, City Hall facade restoration (Ghent)</w:t>
      </w:r>
    </w:p>
    <w:p>
      <w:pPr>
        <w:pStyle w:val="BodyText"/>
      </w:pPr>
      <w:r>
        <w:t xml:space="preserve">Total</w:t>
      </w:r>
    </w:p>
    <w:p>
      <w:pPr>
        <w:pStyle w:val="BodyText"/>
      </w:pPr>
      <w:r>
        <w:t xml:space="preserve">€996,250</w:t>
      </w:r>
    </w:p>
    <w:p>
      <w:pPr>
        <w:pStyle w:val="BodyText"/>
      </w:pPr>
      <w:r>
        <w:t xml:space="preserve">18.3% YoY Growth</w:t>
      </w:r>
    </w:p>
    <w:p>
      <w:pPr>
        <w:pStyle w:val="BodyText"/>
      </w:pPr>
      <w:r>
        <w:t xml:space="preserve">The exceptional 35% growth in Heritage Conservation projects directly responds to Brussels' renewed focus on preserving its architectural heritage. Our Carpenter team completed 17 restoration contracts in the historic core of Belgium Brussels this year – including the €250,000 Cathedral of St. Michael &amp; Gudula project – significantly outpacing market averages.</w:t>
      </w:r>
    </w:p>
    <w:bookmarkEnd w:id="22"/>
    <w:bookmarkStart w:id="23" w:name="X01fa217be65c2da49b8ab9768ef5efcee83c78f"/>
    <w:p>
      <w:pPr>
        <w:pStyle w:val="Heading2"/>
      </w:pPr>
      <w:r>
        <w:t xml:space="preserve">IV. Customer Acquisition Strategy in Brussels Market</w:t>
      </w:r>
    </w:p>
    <w:p>
      <w:pPr>
        <w:pStyle w:val="FirstParagraph"/>
      </w:pPr>
      <w:r>
        <w:t xml:space="preserve">Our sales approach centers on hyper-localized engagement within Belgium Brussels. We've implemented three key initiatives:</w:t>
      </w:r>
    </w:p>
    <w:p>
      <w:pPr>
        <w:numPr>
          <w:ilvl w:val="0"/>
          <w:numId w:val="1001"/>
        </w:numPr>
        <w:pStyle w:val="Compact"/>
      </w:pPr>
      <w:r>
        <w:rPr>
          <w:bCs/>
          <w:b/>
        </w:rPr>
        <w:t xml:space="preserve">Brussels District Partnerships:</w:t>
      </w:r>
      <w:r>
        <w:t xml:space="preserve"> </w:t>
      </w:r>
      <w:r>
        <w:t xml:space="preserve">Collaborating with local authorities like the City of Brussels' Urban Renewal Office, securing 28% of our commercial contracts through official tenders</w:t>
      </w:r>
    </w:p>
    <w:p>
      <w:pPr>
        <w:numPr>
          <w:ilvl w:val="0"/>
          <w:numId w:val="1001"/>
        </w:numPr>
        <w:pStyle w:val="Compact"/>
      </w:pPr>
      <w:r>
        <w:rPr>
          <w:bCs/>
          <w:b/>
        </w:rPr>
        <w:t xml:space="preserve">Green Certification Marketing:</w:t>
      </w:r>
      <w:r>
        <w:t xml:space="preserve"> </w:t>
      </w:r>
      <w:r>
        <w:t xml:space="preserve">Highlighting our compliance with Belgium's Vlaams Energie- en Klimaatplan (VEK) standards, resulting in a 41% increase in eco-conscious client acquisition</w:t>
      </w:r>
    </w:p>
    <w:p>
      <w:pPr>
        <w:numPr>
          <w:ilvl w:val="0"/>
          <w:numId w:val="1001"/>
        </w:numPr>
        <w:pStyle w:val="Compact"/>
      </w:pPr>
      <w:r>
        <w:rPr>
          <w:bCs/>
          <w:b/>
        </w:rPr>
        <w:t xml:space="preserve">Digital Localization:</w:t>
      </w:r>
      <w:r>
        <w:t xml:space="preserve"> </w:t>
      </w:r>
      <w:r>
        <w:t xml:space="preserve">Maintaining French and Dutch language support for all sales communications – crucial for Brussels' bilingual market where 53% of clients prefer Dutch service</w:t>
      </w:r>
    </w:p>
    <w:bookmarkEnd w:id="23"/>
    <w:bookmarkStart w:id="24" w:name="Xb24ce919515ab95820de3b05379329571a10aff"/>
    <w:p>
      <w:pPr>
        <w:pStyle w:val="Heading2"/>
      </w:pPr>
      <w:r>
        <w:t xml:space="preserve">V. Client Feedback &amp; Market Perception (Brussels-Specific)</w:t>
      </w:r>
    </w:p>
    <w:p>
      <w:pPr>
        <w:pStyle w:val="FirstParagraph"/>
      </w:pPr>
      <w:r>
        <w:t xml:space="preserve">Our customer satisfaction survey in Belgium Brussels revealed exceptional results:</w:t>
      </w:r>
    </w:p>
    <w:p>
      <w:pPr>
        <w:pStyle w:val="BlockText"/>
      </w:pPr>
      <w:r>
        <w:t xml:space="preserve">"As a historic building owner in Saint-Gilles, we needed a Carpenter who understood Brussels' specific timber challenges. Brussels Woodcraft didn't just deliver – they preserved our building's soul."</w:t>
      </w:r>
      <w:r>
        <w:br/>
      </w:r>
      <w:r>
        <w:rPr>
          <w:iCs/>
          <w:i/>
        </w:rPr>
        <w:t xml:space="preserve">— Marie Dubois, Property Owner (Brussels South)</w:t>
      </w:r>
    </w:p>
    <w:p>
      <w:pPr>
        <w:pStyle w:val="FirstParagraph"/>
      </w:pPr>
      <w:r>
        <w:t xml:space="preserve">Key satisfaction drivers specific to Belgium Brussels market:</w:t>
      </w:r>
    </w:p>
    <w:p>
      <w:pPr>
        <w:numPr>
          <w:ilvl w:val="0"/>
          <w:numId w:val="1002"/>
        </w:numPr>
        <w:pStyle w:val="Compact"/>
      </w:pPr>
      <w:r>
        <w:t xml:space="preserve">Knowledge of local regulations (e.g., 'Règlement de la Ville de Bruxelles' for facade modifications)</w:t>
      </w:r>
    </w:p>
    <w:p>
      <w:pPr>
        <w:numPr>
          <w:ilvl w:val="0"/>
          <w:numId w:val="1002"/>
        </w:numPr>
        <w:pStyle w:val="Compact"/>
      </w:pPr>
      <w:r>
        <w:t xml:space="preserve">Ability to source Belgian-sourced oak/ash within 72 hours</w:t>
      </w:r>
    </w:p>
    <w:p>
      <w:pPr>
        <w:numPr>
          <w:ilvl w:val="0"/>
          <w:numId w:val="1002"/>
        </w:numPr>
        <w:pStyle w:val="Compact"/>
      </w:pPr>
      <w:r>
        <w:t xml:space="preserve">Pricing transparency compliant with Brussels' Consumer Protection Law (2021)</w:t>
      </w:r>
    </w:p>
    <w:bookmarkEnd w:id="24"/>
    <w:bookmarkStart w:id="25" w:name="X52928f2bddd595cdeefffd79c88bae4174eb2d5"/>
    <w:p>
      <w:pPr>
        <w:pStyle w:val="Heading2"/>
      </w:pPr>
      <w:r>
        <w:t xml:space="preserve">VI. Challenges in the Belgium Brussels Environment</w:t>
      </w:r>
    </w:p>
    <w:p>
      <w:pPr>
        <w:pStyle w:val="FirstParagraph"/>
      </w:pPr>
      <w:r>
        <w:t xml:space="preserve">Navigating the Brussels market presents unique operational hurdles:</w:t>
      </w:r>
    </w:p>
    <w:p>
      <w:pPr>
        <w:numPr>
          <w:ilvl w:val="0"/>
          <w:numId w:val="1003"/>
        </w:numPr>
        <w:pStyle w:val="Compact"/>
      </w:pPr>
      <w:r>
        <w:rPr>
          <w:bCs/>
          <w:b/>
        </w:rPr>
        <w:t xml:space="preserve">Permitting Complexity:</w:t>
      </w:r>
      <w:r>
        <w:t xml:space="preserve"> </w:t>
      </w:r>
      <w:r>
        <w:t xml:space="preserve">The multi-layered authorization system (municipal + federal) extends project timelines by 14-18 days on average. We've mitigated this with dedicated Brussels Permitting Officers.</w:t>
      </w:r>
    </w:p>
    <w:p>
      <w:pPr>
        <w:numPr>
          <w:ilvl w:val="0"/>
          <w:numId w:val="1003"/>
        </w:numPr>
        <w:pStyle w:val="Compact"/>
      </w:pPr>
      <w:r>
        <w:rPr>
          <w:bCs/>
          <w:b/>
        </w:rPr>
        <w:t xml:space="preserve">Supply Chain Volatility:</w:t>
      </w:r>
      <w:r>
        <w:t xml:space="preserve"> </w:t>
      </w:r>
      <w:r>
        <w:t xml:space="preserve">Increased EU timber import tariffs (2023) raised material costs by 9.7%. Our solution: partnering with Belgian forest cooperatives like 'Bois de Belgique' for direct sourcing.</w:t>
      </w:r>
    </w:p>
    <w:p>
      <w:pPr>
        <w:numPr>
          <w:ilvl w:val="0"/>
          <w:numId w:val="1003"/>
        </w:numPr>
        <w:pStyle w:val="Compact"/>
      </w:pPr>
      <w:r>
        <w:rPr>
          <w:bCs/>
          <w:b/>
        </w:rPr>
        <w:t xml:space="preserve">Competition Pressure:</w:t>
      </w:r>
      <w:r>
        <w:t xml:space="preserve"> </w:t>
      </w:r>
      <w:r>
        <w:t xml:space="preserve">New German-inspired carpentry chains entered the Brussels market, but our specialized heritage expertise maintains our 32% market share in premium segments.</w:t>
      </w:r>
    </w:p>
    <w:bookmarkEnd w:id="25"/>
    <w:bookmarkStart w:id="26" w:name="Xc6819983bef6468032306a85b82d264bdde5fde"/>
    <w:p>
      <w:pPr>
        <w:pStyle w:val="Heading2"/>
      </w:pPr>
      <w:r>
        <w:t xml:space="preserve">VII. Strategic Growth Initiatives for Belgium Brussels</w:t>
      </w:r>
    </w:p>
    <w:p>
      <w:pPr>
        <w:pStyle w:val="FirstParagraph"/>
      </w:pPr>
      <w:r>
        <w:t xml:space="preserve">To capitalize on the region's evolving needs, we're implementing these priority actions:</w:t>
      </w:r>
    </w:p>
    <w:p>
      <w:pPr>
        <w:numPr>
          <w:ilvl w:val="0"/>
          <w:numId w:val="1004"/>
        </w:numPr>
        <w:pStyle w:val="Compact"/>
      </w:pPr>
      <w:r>
        <w:rPr>
          <w:bCs/>
          <w:b/>
        </w:rPr>
        <w:t xml:space="preserve">Brussels Heritage Academy:</w:t>
      </w:r>
      <w:r>
        <w:t xml:space="preserve"> </w:t>
      </w:r>
      <w:r>
        <w:t xml:space="preserve">Launching in Q1 2024 to train local Carpenter apprentices in Brussels-specific restoration techniques (funded through Flanders' Cultural Heritage Program)</w:t>
      </w:r>
    </w:p>
    <w:p>
      <w:pPr>
        <w:numPr>
          <w:ilvl w:val="0"/>
          <w:numId w:val="1004"/>
        </w:numPr>
        <w:pStyle w:val="Compact"/>
      </w:pPr>
      <w:r>
        <w:rPr>
          <w:bCs/>
          <w:b/>
        </w:rPr>
        <w:t xml:space="preserve">Digital Twin Integration:</w:t>
      </w:r>
      <w:r>
        <w:t xml:space="preserve"> </w:t>
      </w:r>
      <w:r>
        <w:t xml:space="preserve">Developing 3D modeling for clients to visualize timber installations within their Belgian-brussels contexts before construction</w:t>
      </w:r>
    </w:p>
    <w:p>
      <w:pPr>
        <w:numPr>
          <w:ilvl w:val="0"/>
          <w:numId w:val="1004"/>
        </w:numPr>
        <w:pStyle w:val="Compact"/>
      </w:pPr>
      <w:r>
        <w:rPr>
          <w:bCs/>
          <w:b/>
        </w:rPr>
        <w:t xml:space="preserve">Sustainability Certification Expansion:</w:t>
      </w:r>
      <w:r>
        <w:t xml:space="preserve"> </w:t>
      </w:r>
      <w:r>
        <w:t xml:space="preserve">Pursuing 'BREEAM Belgium' certification to align with Brussels' Green Capital initiatives (target: 2025)</w:t>
      </w:r>
    </w:p>
    <w:bookmarkEnd w:id="26"/>
    <w:bookmarkStart w:id="27" w:name="X78e0da7355e00bae0811c88f6da7d9cc5694112"/>
    <w:p>
      <w:pPr>
        <w:pStyle w:val="Heading2"/>
      </w:pPr>
      <w:r>
        <w:t xml:space="preserve">VIII. Conclusion: The Future of Carpenter Operations in Belgium Brussels</w:t>
      </w:r>
    </w:p>
    <w:p>
      <w:pPr>
        <w:pStyle w:val="FirstParagraph"/>
      </w:pPr>
      <w:r>
        <w:t xml:space="preserve">This Sales Report demonstrates that our strategic focus on specialized carpentry services has yielded exceptional results within the complex Brussels market. By embedding ourselves in Belgium's architectural identity – particularly through heritage preservation and sustainable practices – we've transformed from a regional Carpenter business into an indispensable partner for the city's built environment evolution.</w:t>
      </w:r>
    </w:p>
    <w:p>
      <w:pPr>
        <w:pStyle w:val="BodyText"/>
      </w:pPr>
      <w:r>
        <w:t xml:space="preserve">The 18.3% growth rate significantly exceeds the national carpentry sector average of 5.2%, proving that expertise tailored to Belgium Brussels' unique demands creates sustainable competitive advantage. As Brussels continues its transformation into Europe's most architecturally conscious capital, our Carpenter services remain central to realizing projects that honor history while embracing innovation.</w:t>
      </w:r>
    </w:p>
    <w:p>
      <w:pPr>
        <w:pStyle w:val="BodyText"/>
      </w:pPr>
      <w:r>
        <w:t xml:space="preserve">Our commitment to excellence in every timber joinery project ensures we'll not only maintain but accelerate our leadership position. We recommend full support for the Heritage Academy initiative and digital twin development – investments that will solidify our status as Brussels' premier Carpenter partner for years to come.</w:t>
      </w:r>
    </w:p>
    <w:p>
      <w:r>
        <w:pict>
          <v:rect style="width:0;height:1.5pt" o:hralign="center" o:hrstd="t" o:hr="t"/>
        </w:pict>
      </w:r>
    </w:p>
    <w:p>
      <w:pPr>
        <w:pStyle w:val="FirstParagraph"/>
      </w:pPr>
      <w:r>
        <w:rPr>
          <w:iCs/>
          <w:i/>
        </w:rPr>
        <w:t xml:space="preserve">Brussels Woodcraft Ltd. | Certified by Belgian Chamber of Crafts (CCB 987342) | Serving Belgium Brussels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Carpentry Solutions in Belgium Brussels</dc:title>
  <dc:creator/>
  <dc:language>en</dc:language>
  <cp:keywords/>
  <dcterms:created xsi:type="dcterms:W3CDTF">2026-07-23T01:01:28Z</dcterms:created>
  <dcterms:modified xsi:type="dcterms:W3CDTF">2026-07-23T01:01:28Z</dcterms:modified>
</cp:coreProperties>
</file>

<file path=docProps/custom.xml><?xml version="1.0" encoding="utf-8"?>
<Properties xmlns="http://schemas.openxmlformats.org/officeDocument/2006/custom-properties" xmlns:vt="http://schemas.openxmlformats.org/officeDocument/2006/docPropsVTypes"/>
</file>