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Carpenter</w:t>
      </w:r>
      <w:r>
        <w:t xml:space="preserve"> </w:t>
      </w:r>
      <w:r>
        <w:t xml:space="preserve">Business</w:t>
      </w:r>
      <w:r>
        <w:t xml:space="preserve"> </w:t>
      </w:r>
      <w:r>
        <w:t xml:space="preserve">Operations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4f0232e56032d7da57e3b5f21176ecd5bf7fa04"/>
    <w:p>
      <w:pPr>
        <w:pStyle w:val="Heading1"/>
      </w:pPr>
      <w:r>
        <w:t xml:space="preserve">Quarterly Sales Report: Carpenter Business Operations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São Paulo Operations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carpentry operations across Brazil São Paulo during the third quarter of 2023. As a leading Carpenter in the Brazilian market, we achieved remarkable growth despite economic fluctuations in São Paulo's construction sector. Total revenue reached R$ 1,850,450 (USD $367,891), representing a 14.7% increase year-over-year and surpassing our quarterly target by 9.2%. This success underscores the strategic importance of our Carpenter services in Brazil São Paulo's dynamic real estate landscape. Key drivers included high-demand custom cabinetry projects in affluent districts like Jardins and Morumbi, alongside expanding commercial contracts with local developers.</w:t>
      </w:r>
    </w:p>
    <w:p>
      <w:pPr>
        <w:pStyle w:val="BodyText"/>
      </w:pPr>
      <w:r>
        <w:rPr>
          <w:bCs/>
          <w:b/>
        </w:rPr>
        <w:t xml:space="preserve">Key Achievement:</w:t>
      </w:r>
      <w:r>
        <w:t xml:space="preserve"> </w:t>
      </w:r>
      <w:r>
        <w:t xml:space="preserve">Our Carpenter team completed 218 projects in São Paulo during Q3 – a 27% surge from Q2 – demonstrating exceptional responsiveness to market demand. This growth positions us as the preferred Carpenter for high-end residential and commercial builds across Brazil São Paulo, where we now command a 16.3% market share in the premium cabinetry segment.</w:t>
      </w:r>
    </w:p>
    <w:bookmarkEnd w:id="20"/>
    <w:bookmarkStart w:id="21" w:name="X6f3adca95a30f4bc51505899036a63c3c0d66d8"/>
    <w:p>
      <w:pPr>
        <w:pStyle w:val="Heading2"/>
      </w:pPr>
      <w:r>
        <w:t xml:space="preserve">Regional Sales Breakdown: Brazil São Paulo Market</w:t>
      </w:r>
    </w:p>
    <w:p>
      <w:pPr>
        <w:pStyle w:val="FirstParagraph"/>
      </w:pPr>
      <w:r>
        <w:t xml:space="preserve">Our operations are strategically concentrated in São Paulo's 45 municipalities, with particular focus on metropolitan zones where construction activity remains robust. The following table summarizes quarterly performance across key regions: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Revenue (R$)</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São Paulo City Center &amp; Zona Sul (Jardins, Vila Madalena, Morumbi)</w:t>
            </w:r>
          </w:p>
        </w:tc>
        <w:tc>
          <w:tcPr/>
          <w:p>
            <w:pPr>
              <w:pStyle w:val="Compact"/>
              <w:jc w:val="left"/>
            </w:pPr>
            <w:r>
              <w:t xml:space="preserve">984,200</w:t>
            </w:r>
          </w:p>
        </w:tc>
        <w:tc>
          <w:tcPr/>
          <w:p>
            <w:pPr>
              <w:pStyle w:val="Compact"/>
              <w:jc w:val="left"/>
            </w:pPr>
            <w:r>
              <w:t xml:space="preserve">53.2%</w:t>
            </w:r>
          </w:p>
        </w:tc>
        <w:tc>
          <w:tcPr/>
          <w:p>
            <w:pPr>
              <w:pStyle w:val="Compact"/>
              <w:jc w:val="left"/>
            </w:pPr>
            <w:r>
              <w:t xml:space="preserve">+18.4%</w:t>
            </w:r>
          </w:p>
        </w:tc>
      </w:tr>
      <w:tr>
        <w:tc>
          <w:tcPr/>
          <w:p>
            <w:pPr>
              <w:pStyle w:val="Compact"/>
              <w:jc w:val="left"/>
            </w:pPr>
            <w:r>
              <w:t xml:space="preserve">Litoral Paulista (Santos, Guarujá)</w:t>
            </w:r>
          </w:p>
        </w:tc>
        <w:tc>
          <w:tcPr/>
          <w:p>
            <w:pPr>
              <w:pStyle w:val="Compact"/>
              <w:jc w:val="left"/>
            </w:pPr>
            <w:r>
              <w:t xml:space="preserve">327,100</w:t>
            </w:r>
          </w:p>
        </w:tc>
        <w:tc>
          <w:tcPr/>
          <w:p>
            <w:pPr>
              <w:pStyle w:val="Compact"/>
              <w:jc w:val="left"/>
            </w:pPr>
            <w:r>
              <w:t xml:space="preserve">17.7%</w:t>
            </w:r>
          </w:p>
        </w:tc>
        <w:tc>
          <w:tcPr/>
          <w:p>
            <w:pPr>
              <w:pStyle w:val="Compact"/>
              <w:jc w:val="left"/>
            </w:pPr>
            <w:r>
              <w:t xml:space="preserve">+9.8%</w:t>
            </w:r>
          </w:p>
        </w:tc>
      </w:tr>
      <w:tr>
        <w:tc>
          <w:tcPr/>
          <w:p>
            <w:pPr>
              <w:pStyle w:val="Compact"/>
              <w:jc w:val="left"/>
            </w:pPr>
            <w:r>
              <w:t xml:space="preserve">Zona Leste &amp; Interior (Barueri, Osasco)</w:t>
            </w:r>
          </w:p>
        </w:tc>
        <w:tc>
          <w:tcPr/>
          <w:p>
            <w:pPr>
              <w:pStyle w:val="Compact"/>
              <w:jc w:val="left"/>
            </w:pPr>
            <w:r>
              <w:t xml:space="preserve">435,600</w:t>
            </w:r>
          </w:p>
        </w:tc>
        <w:tc>
          <w:tcPr/>
          <w:p>
            <w:pPr>
              <w:pStyle w:val="Compact"/>
              <w:jc w:val="left"/>
            </w:pPr>
            <w:r>
              <w:t xml:space="preserve">23.5%</w:t>
            </w:r>
          </w:p>
        </w:tc>
        <w:tc>
          <w:tcPr/>
          <w:p>
            <w:pPr>
              <w:pStyle w:val="Compact"/>
              <w:jc w:val="left"/>
            </w:pPr>
            <w:r>
              <w:t xml:space="preserve">+12.1%</w:t>
            </w:r>
          </w:p>
        </w:tc>
      </w:tr>
      <w:tr>
        <w:tc>
          <w:tcPr/>
          <w:p>
            <w:pPr>
              <w:pStyle w:val="Compact"/>
              <w:jc w:val="left"/>
            </w:pPr>
            <w:r>
              <w:t xml:space="preserve">Campinas &amp; Regional Hubs</w:t>
            </w:r>
          </w:p>
        </w:tc>
        <w:tc>
          <w:tcPr/>
          <w:p>
            <w:pPr>
              <w:pStyle w:val="Compact"/>
              <w:jc w:val="left"/>
            </w:pPr>
            <w:r>
              <w:t xml:space="preserve">103,550</w:t>
            </w:r>
          </w:p>
        </w:tc>
        <w:tc>
          <w:tcPr/>
          <w:p>
            <w:pPr>
              <w:pStyle w:val="Compact"/>
              <w:jc w:val="left"/>
            </w:pPr>
            <w:r>
              <w:t xml:space="preserve">5.6%</w:t>
            </w:r>
          </w:p>
        </w:tc>
        <w:tc>
          <w:tcPr/>
          <w:p>
            <w:pPr>
              <w:pStyle w:val="Compact"/>
              <w:jc w:val="left"/>
            </w:pPr>
            <w:r>
              <w:t xml:space="preserve">+21.3%</w:t>
            </w:r>
          </w:p>
        </w:tc>
      </w:tr>
      <w:tr>
        <w:tc>
          <w:tcPr/>
          <w:p>
            <w:pPr>
              <w:pStyle w:val="Compact"/>
              <w:jc w:val="left"/>
            </w:pPr>
            <w:r>
              <w:rPr>
                <w:bCs/>
                <w:b/>
              </w:rPr>
              <w:t xml:space="preserve">Total</w:t>
            </w:r>
          </w:p>
        </w:tc>
        <w:tc>
          <w:tcPr/>
          <w:p>
            <w:pPr>
              <w:pStyle w:val="Compact"/>
              <w:jc w:val="left"/>
            </w:pPr>
            <w:r>
              <w:rPr>
                <w:bCs/>
                <w:b/>
              </w:rPr>
              <w:t xml:space="preserve">1,850,450</w:t>
            </w:r>
          </w:p>
        </w:tc>
        <w:tc>
          <w:tcPr/>
          <w:p>
            <w:pPr>
              <w:pStyle w:val="Compact"/>
              <w:jc w:val="left"/>
            </w:pPr>
            <w:r>
              <w:rPr>
                <w:bCs/>
                <w:b/>
              </w:rPr>
              <w:t xml:space="preserve">100%</w:t>
            </w:r>
          </w:p>
        </w:tc>
        <w:tc>
          <w:tcPr/>
          <w:p>
            <w:pPr>
              <w:pStyle w:val="Compact"/>
              <w:jc w:val="left"/>
            </w:pPr>
            <w:r>
              <w:rPr>
                <w:bCs/>
                <w:b/>
              </w:rPr>
              <w:t xml:space="preserve">+14.7%</w:t>
            </w:r>
          </w:p>
        </w:tc>
      </w:tr>
    </w:tbl>
    <w:bookmarkEnd w:id="21"/>
    <w:bookmarkStart w:id="22" w:name="product-performance-analysis"/>
    <w:p>
      <w:pPr>
        <w:pStyle w:val="Heading2"/>
      </w:pPr>
      <w:r>
        <w:t xml:space="preserve">Product Performance Analysis</w:t>
      </w:r>
    </w:p>
    <w:p>
      <w:pPr>
        <w:pStyle w:val="FirstParagraph"/>
      </w:pPr>
      <w:r>
        <w:t xml:space="preserve">The demand profile for our Carpenter services in Brazil São Paulo reveals critical trends. Custom kitchen cabinetry dominated sales (48% of revenue), followed by premium furniture solutions (31%) and commercial interior installations (21%). Notably, the "EcoLuxe" sustainable wood line saw explosive growth (+63% YoY), driven by São Paulo's new environmental regulations requiring certified materials in all residential constructions above 50m².</w:t>
      </w:r>
    </w:p>
    <w:p>
      <w:pPr>
        <w:pStyle w:val="BodyText"/>
      </w:pPr>
      <w:r>
        <w:rPr>
          <w:bCs/>
          <w:b/>
        </w:rPr>
        <w:t xml:space="preserve">Strategic Insight:</w:t>
      </w:r>
      <w:r>
        <w:t xml:space="preserve"> </w:t>
      </w:r>
      <w:r>
        <w:t xml:space="preserve">São Paulo developers increasingly prioritize carpenters who comply with Brazil's updated NBR 14.792 standard for sustainable wood sourcing. Our Carpenter team's certification in this framework has become a decisive factor in winning municipal contracts – securing 38% of new commercial deals versus 18% in Q2 2022.</w:t>
      </w:r>
    </w:p>
    <w:bookmarkEnd w:id="22"/>
    <w:bookmarkStart w:id="23" w:name="market-challenges-opportunities"/>
    <w:p>
      <w:pPr>
        <w:pStyle w:val="Heading2"/>
      </w:pPr>
      <w:r>
        <w:t xml:space="preserve">Market Challenges &amp; Opportunities</w:t>
      </w:r>
    </w:p>
    <w:p>
      <w:pPr>
        <w:pStyle w:val="FirstParagraph"/>
      </w:pPr>
      <w:r>
        <w:t xml:space="preserve">Operating as a Carpenter in Brazil São Paulo presents unique market dynamics. While economic volatility and supply chain disruptions (notably timber imports from Paraguay) caused 17% project delays, we capitalized on two key opportunities:</w:t>
      </w:r>
    </w:p>
    <w:p>
      <w:pPr>
        <w:numPr>
          <w:ilvl w:val="0"/>
          <w:numId w:val="1001"/>
        </w:numPr>
        <w:pStyle w:val="Compact"/>
      </w:pPr>
      <w:r>
        <w:rPr>
          <w:bCs/>
          <w:b/>
        </w:rPr>
        <w:t xml:space="preserve">Urbanization Surge:</w:t>
      </w:r>
      <w:r>
        <w:t xml:space="preserve"> </w:t>
      </w:r>
      <w:r>
        <w:t xml:space="preserve">São Paulo's population growth (0.8% QoQ) drives demand for high-density housing, creating consistent need for efficient Carpenter services in compact urban builds.</w:t>
      </w:r>
    </w:p>
    <w:p>
      <w:pPr>
        <w:numPr>
          <w:ilvl w:val="0"/>
          <w:numId w:val="1001"/>
        </w:numPr>
        <w:pStyle w:val="Compact"/>
      </w:pPr>
      <w:r>
        <w:rPr>
          <w:bCs/>
          <w:b/>
        </w:rPr>
        <w:t xml:space="preserve">Sustainability Imperative:</w:t>
      </w:r>
      <w:r>
        <w:t xml:space="preserve"> </w:t>
      </w:r>
      <w:r>
        <w:t xml:space="preserve">The 2023 São Paulo Municipal Green Building Ordinance mandates eco-certified materials. Our Carpenter division proactively invested in Brazilian teak partnerships, positioning us as the go-to provider for environmentally compliant projects.</w:t>
      </w:r>
    </w:p>
    <w:p>
      <w:pPr>
        <w:pStyle w:val="FirstParagraph"/>
      </w:pPr>
      <w:r>
        <w:rPr>
          <w:bCs/>
          <w:b/>
        </w:rPr>
        <w:t xml:space="preserve">Critical Challenge:</w:t>
      </w:r>
      <w:r>
        <w:t xml:space="preserve"> </w:t>
      </w:r>
      <w:r>
        <w:t xml:space="preserve">Rising material costs (especially imported hardwoods) pressured margins by 6.3% in Q3. However, our Carpenter team mitigated this through local sourcing partnerships with São Paulo state's forest cooperatives, reducing dependency on imports by 41%. This strategy preserved 89% of projected profit margins despite market turbulence.</w:t>
      </w:r>
    </w:p>
    <w:bookmarkEnd w:id="23"/>
    <w:bookmarkStart w:id="24" w:name="customer-satisfaction-retention"/>
    <w:p>
      <w:pPr>
        <w:pStyle w:val="Heading2"/>
      </w:pPr>
      <w:r>
        <w:t xml:space="preserve">Customer Satisfaction &amp; Retention</w:t>
      </w:r>
    </w:p>
    <w:p>
      <w:pPr>
        <w:pStyle w:val="FirstParagraph"/>
      </w:pPr>
      <w:r>
        <w:t xml:space="preserve">Customer feedback in Brazil São Paulo revealed exceptional satisfaction: 92% of clients rated our Carpenter services "excellent" for project timelines (avg. completion: 18 days vs. market average of 24). The highest satisfaction came from commercial clients – a testament to our ability to manage complex, high-visibility projects across São Paulo's demanding landscape.</w:t>
      </w:r>
    </w:p>
    <w:bookmarkEnd w:id="24"/>
    <w:bookmarkStart w:id="25" w:name="strategic-recommendations-for-q4"/>
    <w:p>
      <w:pPr>
        <w:pStyle w:val="Heading2"/>
      </w:pPr>
      <w:r>
        <w:t xml:space="preserve">Strategic Recommendations for Q4</w:t>
      </w:r>
    </w:p>
    <w:p>
      <w:pPr>
        <w:pStyle w:val="FirstParagraph"/>
      </w:pPr>
      <w:r>
        <w:t xml:space="preserve">To sustain growth as a leading Carpenter in Brazil São Paulo, we propose:</w:t>
      </w:r>
    </w:p>
    <w:p>
      <w:pPr>
        <w:numPr>
          <w:ilvl w:val="0"/>
          <w:numId w:val="1002"/>
        </w:numPr>
        <w:pStyle w:val="Compact"/>
      </w:pPr>
      <w:r>
        <w:rPr>
          <w:bCs/>
          <w:b/>
        </w:rPr>
        <w:t xml:space="preserve">Expand EcoLuxe Line:</w:t>
      </w:r>
      <w:r>
        <w:t xml:space="preserve"> </w:t>
      </w:r>
      <w:r>
        <w:t xml:space="preserve">Allocate R$150,000 to develop new sustainable wood products targeting São Paulo's luxury condo market (projected 34% demand growth).</w:t>
      </w:r>
    </w:p>
    <w:p>
      <w:pPr>
        <w:numPr>
          <w:ilvl w:val="0"/>
          <w:numId w:val="1002"/>
        </w:numPr>
        <w:pStyle w:val="Compact"/>
      </w:pPr>
      <w:r>
        <w:rPr>
          <w:bCs/>
          <w:b/>
        </w:rPr>
        <w:t xml:space="preserve">Invest in Technology:</w:t>
      </w:r>
      <w:r>
        <w:t xml:space="preserve"> </w:t>
      </w:r>
      <w:r>
        <w:t xml:space="preserve">Implement AR visualization tools for clients, reducing design revisions by an estimated 28% – a critical need identified through São Paulo customer surveys.</w:t>
      </w:r>
    </w:p>
    <w:p>
      <w:pPr>
        <w:numPr>
          <w:ilvl w:val="0"/>
          <w:numId w:val="1002"/>
        </w:numPr>
        <w:pStyle w:val="Compact"/>
      </w:pPr>
      <w:r>
        <w:rPr>
          <w:bCs/>
          <w:b/>
        </w:rPr>
        <w:t xml:space="preserve">Strategic Partnerships:</w:t>
      </w:r>
      <w:r>
        <w:t xml:space="preserve"> </w:t>
      </w:r>
      <w:r>
        <w:t xml:space="preserve">Forge alliances with top São Paulo real estate developers (e.g., Tenda, Gafisa) to secure pipeline contracts for Q1 2024.</w:t>
      </w:r>
    </w:p>
    <w:bookmarkEnd w:id="25"/>
    <w:bookmarkStart w:id="26" w:name="conclusion"/>
    <w:p>
      <w:pPr>
        <w:pStyle w:val="Heading2"/>
      </w:pPr>
      <w:r>
        <w:t xml:space="preserve">Conclusion</w:t>
      </w:r>
    </w:p>
    <w:p>
      <w:pPr>
        <w:pStyle w:val="FirstParagraph"/>
      </w:pPr>
      <w:r>
        <w:t xml:space="preserve">This Sales Report confirms our Carpenter business is not merely surviving but thriving in Brazil São Paulo's competitive market. Our strategic focus on sustainability compliance, premium customization, and agile supply chain management has transformed us into an indispensable partner for São Paulo's construction ecosystem. As the city continues its urban expansion under strict environmental guidelines, the role of a forward-thinking Carpenter like ours becomes increasingly vital to Brazil's built environment.</w:t>
      </w:r>
    </w:p>
    <w:p>
      <w:pPr>
        <w:pStyle w:val="BodyText"/>
      </w:pPr>
      <w:r>
        <w:t xml:space="preserve">Looking ahead to Q4 2023, we project R$ 2.1M in revenue (15% growth) by doubling down on our strengths as a certified Brazilian Carpenter serving the São Paulo metropolitan market. The data is clear: when you choose a Carpenter committed to Brazil São Paulo's unique demands – from regulatory compliance to urban design challenges – you secure quality, sustainability, and seamless project delivery. Our commitment remains unwavering: to be the most trusted Carpenter in Brazil São Paulo, one project at a time.</w:t>
      </w:r>
    </w:p>
    <w:p>
      <w:pPr>
        <w:pStyle w:val="BodyText"/>
      </w:pPr>
      <w:r>
        <w:rPr>
          <w:iCs/>
          <w:i/>
        </w:rPr>
        <w:t xml:space="preserve">Prepared by:</w:t>
      </w:r>
      <w:r>
        <w:t xml:space="preserve"> </w:t>
      </w:r>
      <w:r>
        <w:t xml:space="preserve">Sales &amp; Operations Department</w:t>
      </w:r>
      <w:r>
        <w:br/>
      </w:r>
      <w:r>
        <w:rPr>
          <w:iCs/>
          <w:i/>
        </w:rPr>
        <w:t xml:space="preserve">Signature:</w:t>
      </w:r>
      <w:r>
        <w:t xml:space="preserve"> </w:t>
      </w:r>
      <w:r>
        <w:t xml:space="preserve">Maria Silva, Regional Director – Brazil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Carpenter Business Operations in Brazil São Paulo</dc:title>
  <dc:creator/>
  <dc:language>en</dc:language>
  <cp:keywords/>
  <dcterms:created xsi:type="dcterms:W3CDTF">2026-07-25T06:20:50Z</dcterms:created>
  <dcterms:modified xsi:type="dcterms:W3CDTF">2026-07-25T06:20:50Z</dcterms:modified>
</cp:coreProperties>
</file>

<file path=docProps/custom.xml><?xml version="1.0" encoding="utf-8"?>
<Properties xmlns="http://schemas.openxmlformats.org/officeDocument/2006/custom-properties" xmlns:vt="http://schemas.openxmlformats.org/officeDocument/2006/docPropsVTypes"/>
</file>