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Bogotá</w:t>
      </w:r>
      <w:r>
        <w:t xml:space="preserve"> </w:t>
      </w:r>
      <w:r>
        <w:t xml:space="preserve">Carpenter</w:t>
      </w:r>
      <w:r>
        <w:t xml:space="preserve"> </w:t>
      </w:r>
      <w:r>
        <w:t xml:space="preserve">Business</w:t>
      </w:r>
    </w:p>
    <w:bookmarkStart w:id="28" w:name="Xf4dc313b1ec3cee283b47a7620c81cbe05ca547"/>
    <w:p>
      <w:pPr>
        <w:pStyle w:val="Heading1"/>
      </w:pPr>
      <w:r>
        <w:t xml:space="preserve">Quarterly Sales Report for Premium Carpenter Services in Colombia Bogotá</w:t>
      </w:r>
    </w:p>
    <w:p>
      <w:pPr>
        <w:pStyle w:val="FirstParagraph"/>
      </w:pPr>
      <w:r>
        <w:rPr>
          <w:bCs/>
          <w:b/>
        </w:rPr>
        <w:t xml:space="preserve">Prepared For:</w:t>
      </w:r>
      <w:r>
        <w:t xml:space="preserve"> </w:t>
      </w:r>
      <w:r>
        <w:t xml:space="preserve">Management Team, Carpentry Solutions Bogotá</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r>
        <w:br/>
      </w:r>
      <w:r>
        <w:rPr>
          <w:bCs/>
          <w:b/>
        </w:rPr>
        <w:t xml:space="preserve">Prepared By:</w:t>
      </w:r>
      <w:r>
        <w:t xml:space="preserve"> </w:t>
      </w:r>
      <w:r>
        <w:t xml:space="preserve">Sales Analytics Department</w:t>
      </w:r>
    </w:p>
    <w:bookmarkStart w:id="20" w:name="executive-summary"/>
    <w:p>
      <w:pPr>
        <w:pStyle w:val="Heading2"/>
      </w:pPr>
      <w:r>
        <w:t xml:space="preserve">Executive Summary</w:t>
      </w:r>
    </w:p>
    <w:p>
      <w:pPr>
        <w:pStyle w:val="FirstParagraph"/>
      </w:pPr>
      <w:r>
        <w:t xml:space="preserve">This comprehensive Sales Report details the performance of our premium carpentry business operating across Colombia Bogotá during Q3 2023. As a leading independent Carpenter service provider in the capital city, we achieved remarkable growth with a 18.7% year-over-year increase in revenue, totaling COP 4,250,000,000 (approximately USD $985,654). This growth is particularly significant given Bogotá's competitive market landscape and evolving construction demands. Our strategic focus on custom woodworking solutions for residential renovations and commercial projects has positioned us as a preferred Carpenter partner in Colombia's largest metropolitan area.</w:t>
      </w:r>
    </w:p>
    <w:bookmarkEnd w:id="20"/>
    <w:bookmarkStart w:id="21" w:name="key-sales-performance-metrics-q3-2023"/>
    <w:p>
      <w:pPr>
        <w:pStyle w:val="Heading2"/>
      </w:pPr>
      <w:r>
        <w:t xml:space="preserve">Key 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Total Revenue (COP)</w:t>
            </w:r>
          </w:p>
        </w:tc>
        <w:tc>
          <w:tcPr/>
          <w:p>
            <w:pPr>
              <w:pStyle w:val="Compact"/>
              <w:jc w:val="left"/>
            </w:pPr>
            <w:r>
              <w:t xml:space="preserve">4,250,000,000</w:t>
            </w:r>
          </w:p>
        </w:tc>
        <w:tc>
          <w:tcPr/>
          <w:p>
            <w:pPr>
              <w:pStyle w:val="Compact"/>
              <w:jc w:val="left"/>
            </w:pPr>
            <w:r>
              <w:t xml:space="preserve">3,582,567,143</w:t>
            </w:r>
          </w:p>
        </w:tc>
        <w:tc>
          <w:tcPr/>
          <w:p>
            <w:pPr>
              <w:pStyle w:val="Compact"/>
              <w:jc w:val="left"/>
            </w:pPr>
            <w:r>
              <w:t xml:space="preserve">+18.7%</w:t>
            </w:r>
          </w:p>
        </w:tc>
      </w:tr>
      <w:tr>
        <w:tc>
          <w:tcPr/>
          <w:p>
            <w:pPr>
              <w:pStyle w:val="Compact"/>
              <w:jc w:val="left"/>
            </w:pPr>
            <w:r>
              <w:t xml:space="preserve">New Client Acquisition</w:t>
            </w:r>
          </w:p>
        </w:tc>
        <w:tc>
          <w:tcPr/>
          <w:p>
            <w:pPr>
              <w:pStyle w:val="Compact"/>
              <w:jc w:val="left"/>
            </w:pPr>
            <w:r>
              <w:t xml:space="preserve">47 clients</w:t>
            </w:r>
          </w:p>
        </w:tc>
        <w:tc>
          <w:tcPr/>
          <w:p>
            <w:pPr>
              <w:pStyle w:val="Compact"/>
              <w:jc w:val="left"/>
            </w:pPr>
            <w:r>
              <w:t xml:space="preserve">39 clients</w:t>
            </w:r>
          </w:p>
        </w:tc>
        <w:tc>
          <w:tcPr/>
          <w:p>
            <w:pPr>
              <w:pStyle w:val="Compact"/>
              <w:jc w:val="left"/>
            </w:pPr>
            <w:r>
              <w:t xml:space="preserve">+20.5%</w:t>
            </w:r>
          </w:p>
        </w:tc>
      </w:tr>
      <w:tr>
        <w:tc>
          <w:tcPr/>
          <w:p>
            <w:pPr>
              <w:pStyle w:val="Compact"/>
              <w:jc w:val="left"/>
            </w:pPr>
            <w:r>
              <w:t xml:space="preserve">Average Order Value (COP)</w:t>
            </w:r>
          </w:p>
        </w:tc>
        <w:tc>
          <w:tcPr/>
          <w:p>
            <w:pPr>
              <w:pStyle w:val="Compact"/>
              <w:jc w:val="left"/>
            </w:pPr>
            <w:r>
              <w:t xml:space="preserve">850,000</w:t>
            </w:r>
          </w:p>
        </w:tc>
        <w:tc>
          <w:tcPr/>
          <w:p>
            <w:pPr>
              <w:pStyle w:val="Compact"/>
              <w:jc w:val="left"/>
            </w:pPr>
            <w:r>
              <w:t xml:space="preserve">763,421</w:t>
            </w:r>
          </w:p>
        </w:tc>
        <w:tc>
          <w:tcPr/>
          <w:p>
            <w:pPr>
              <w:pStyle w:val="Compact"/>
              <w:jc w:val="left"/>
            </w:pPr>
            <w:r>
              <w:t xml:space="preserve">+11.3%</w:t>
            </w:r>
          </w:p>
        </w:tc>
      </w:tr>
      <w:tr>
        <w:tc>
          <w:tcPr/>
          <w:p>
            <w:pPr>
              <w:pStyle w:val="Compact"/>
              <w:jc w:val="left"/>
            </w:pPr>
            <w:r>
              <w:t xml:space="preserve">Project Completion Rate</w:t>
            </w:r>
          </w:p>
        </w:tc>
        <w:tc>
          <w:tcPr/>
          <w:p>
            <w:pPr>
              <w:pStyle w:val="Compact"/>
              <w:jc w:val="left"/>
            </w:pPr>
            <w:r>
              <w:t xml:space="preserve">94.2%</w:t>
            </w:r>
          </w:p>
        </w:tc>
        <w:tc>
          <w:tcPr/>
          <w:p>
            <w:pPr>
              <w:pStyle w:val="Compact"/>
              <w:jc w:val="left"/>
            </w:pPr>
            <w:r>
              <w:t xml:space="preserve">88.5%</w:t>
            </w:r>
          </w:p>
        </w:tc>
        <w:tc>
          <w:tcPr/>
          <w:p>
            <w:pPr>
              <w:pStyle w:val="Compact"/>
              <w:jc w:val="left"/>
            </w:pPr>
            <w:r>
              <w:t xml:space="preserve">+5.7 pts</w:t>
            </w:r>
          </w:p>
        </w:tc>
      </w:tr>
    </w:tbl>
    <w:bookmarkEnd w:id="21"/>
    <w:bookmarkStart w:id="22" w:name="X3c5cf9866d7b52bd0e3c127c2648dc76bb1f0cc"/>
    <w:p>
      <w:pPr>
        <w:pStyle w:val="Heading2"/>
      </w:pPr>
      <w:r>
        <w:t xml:space="preserve">Market Analysis: Carpenter Demand in Bogotá, Colombia</w:t>
      </w:r>
    </w:p>
    <w:p>
      <w:pPr>
        <w:pStyle w:val="FirstParagraph"/>
      </w:pPr>
      <w:r>
        <w:t xml:space="preserve">The Colombian capital continues to experience robust demand for premium carpentry services driven by three key factors:</w:t>
      </w:r>
    </w:p>
    <w:p>
      <w:pPr>
        <w:numPr>
          <w:ilvl w:val="0"/>
          <w:numId w:val="1001"/>
        </w:numPr>
        <w:pStyle w:val="Compact"/>
      </w:pPr>
      <w:r>
        <w:rPr>
          <w:bCs/>
          <w:b/>
        </w:rPr>
        <w:t xml:space="preserve">Residential Renovation Boom:</w:t>
      </w:r>
      <w:r>
        <w:t xml:space="preserve"> </w:t>
      </w:r>
      <w:r>
        <w:t xml:space="preserve">Bogotá's real estate market shows 22% year-over-year growth in renovation projects, particularly in upscale neighborhoods like Chapinero and La Candelaria. Homeowners increasingly seek custom woodworking solutions for kitchens, built-in furniture, and interior finishes.</w:t>
      </w:r>
    </w:p>
    <w:p>
      <w:pPr>
        <w:numPr>
          <w:ilvl w:val="0"/>
          <w:numId w:val="1001"/>
        </w:numPr>
        <w:pStyle w:val="Compact"/>
      </w:pPr>
      <w:r>
        <w:rPr>
          <w:bCs/>
          <w:b/>
        </w:rPr>
        <w:t xml:space="preserve">Commercial Expansion:</w:t>
      </w:r>
      <w:r>
        <w:t xml:space="preserve"> </w:t>
      </w:r>
      <w:r>
        <w:t xml:space="preserve">New office constructions and retail spaces across the city require specialized carpentry work. We secured contracts with 3 major commercial developers in Q3, including a high-end boutique hotel in Zona T.</w:t>
      </w:r>
    </w:p>
    <w:p>
      <w:pPr>
        <w:numPr>
          <w:ilvl w:val="0"/>
          <w:numId w:val="1001"/>
        </w:numPr>
        <w:pStyle w:val="Compact"/>
      </w:pPr>
      <w:r>
        <w:rPr>
          <w:bCs/>
          <w:b/>
        </w:rPr>
        <w:t xml:space="preserve">Sustainability Focus:</w:t>
      </w:r>
      <w:r>
        <w:t xml:space="preserve"> </w:t>
      </w:r>
      <w:r>
        <w:t xml:space="preserve">Colombian consumers are prioritizing eco-friendly materials. Our use of FSC-certified wood and sustainable practices has become a key differentiator for the Carpenter business in Colombia Bogotá's environmentally conscious market.</w:t>
      </w:r>
    </w:p>
    <w:bookmarkEnd w:id="22"/>
    <w:bookmarkStart w:id="23" w:name="X4d32e87b61efc6386de1cfaaa9909cb2c633141"/>
    <w:p>
      <w:pPr>
        <w:pStyle w:val="Heading2"/>
      </w:pPr>
      <w:r>
        <w:t xml:space="preserve">Geographic Sales Distribution (Bogotá, Colombia)</w:t>
      </w:r>
    </w:p>
    <w:p>
      <w:pPr>
        <w:pStyle w:val="FirstParagraph"/>
      </w:pPr>
      <w:r>
        <w:t xml:space="preserve">Our sales territory analysis reveals concentrated demand patterns across specific zones:</w:t>
      </w:r>
    </w:p>
    <w:p>
      <w:pPr>
        <w:pStyle w:val="BodyText"/>
      </w:pPr>
      <w:r>
        <w:t xml:space="preserve">Borough/Neighborhood</w:t>
      </w:r>
    </w:p>
    <w:p>
      <w:pPr>
        <w:pStyle w:val="BodyText"/>
      </w:pPr>
      <w:r>
        <w:t xml:space="preserve">Revenue Share</w:t>
      </w:r>
    </w:p>
    <w:p>
      <w:pPr>
        <w:pStyle w:val="BodyText"/>
      </w:pPr>
      <w:r>
        <w:t xml:space="preserve">Growth vs. Q2</w:t>
      </w:r>
    </w:p>
    <w:p>
      <w:pPr>
        <w:pStyle w:val="BodyText"/>
      </w:pPr>
      <w:r>
        <w:t xml:space="preserve">Chapinero &amp; La Candelaria</w:t>
      </w:r>
    </w:p>
    <w:p>
      <w:pPr>
        <w:pStyle w:val="BodyText"/>
      </w:pPr>
      <w:r>
        <w:t xml:space="preserve">34.2%</w:t>
      </w:r>
    </w:p>
    <w:p>
      <w:pPr>
        <w:pStyle w:val="BodyText"/>
      </w:pPr>
      <w:r>
        <w:t xml:space="preserve">+15.6%</w:t>
      </w:r>
    </w:p>
    <w:p>
      <w:pPr>
        <w:pStyle w:val="BodyText"/>
      </w:pPr>
      <w:r>
        <w:t xml:space="preserve">Zona T &amp; Teusaquillo</w:t>
      </w:r>
    </w:p>
    <w:p>
      <w:pPr>
        <w:pStyle w:val="BodyText"/>
      </w:pPr>
      <w:r>
        <w:t xml:space="preserve">28.7%</w:t>
      </w:r>
    </w:p>
    <w:p>
      <w:pPr>
        <w:pStyle w:val="BodyText"/>
      </w:pPr>
      <w:r>
        <w:t xml:space="preserve">+21.3%</w:t>
      </w:r>
    </w:p>
    <w:p>
      <w:pPr>
        <w:pStyle w:val="BodyText"/>
      </w:pPr>
      <w:r>
        <w:t xml:space="preserve">San Felipe &amp; Kennedy</w:t>
      </w:r>
    </w:p>
    <w:p>
      <w:pPr>
        <w:pStyle w:val="BodyText"/>
      </w:pPr>
      <w:r>
        <w:t xml:space="preserve">19.4%</w:t>
      </w:r>
    </w:p>
    <w:p>
      <w:pPr>
        <w:pStyle w:val="BodyText"/>
      </w:pPr>
      <w:r>
        <w:t xml:space="preserve">+8.9%</w:t>
      </w:r>
    </w:p>
    <w:p>
      <w:pPr>
        <w:pStyle w:val="BodyText"/>
      </w:pPr>
      <w:r>
        <w:t xml:space="preserve">Otras Zonas (Rest of Bogotá)</w:t>
      </w:r>
    </w:p>
    <w:p>
      <w:pPr>
        <w:pStyle w:val="BodyText"/>
      </w:pPr>
      <w:r>
        <w:t xml:space="preserve">17.7%</w:t>
      </w:r>
    </w:p>
    <w:p>
      <w:pPr>
        <w:pStyle w:val="BodyText"/>
      </w:pPr>
      <w:r>
        <w:t xml:space="preserve">+32.1%</w:t>
      </w:r>
    </w:p>
    <w:bookmarkEnd w:id="23"/>
    <w:bookmarkStart w:id="24" w:name="key-challenges-and-strategic-responses"/>
    <w:p>
      <w:pPr>
        <w:pStyle w:val="Heading2"/>
      </w:pPr>
      <w:r>
        <w:t xml:space="preserve">Key Challenges and Strategic Responses</w:t>
      </w:r>
    </w:p>
    <w:p>
      <w:pPr>
        <w:pStyle w:val="FirstParagraph"/>
      </w:pPr>
      <w:r>
        <w:t xml:space="preserve">The Bogotá carpentry market presents unique operational challenges that we've addressed through strategic initiatives:</w:t>
      </w:r>
    </w:p>
    <w:p>
      <w:pPr>
        <w:numPr>
          <w:ilvl w:val="0"/>
          <w:numId w:val="1002"/>
        </w:numPr>
        <w:pStyle w:val="Compact"/>
      </w:pPr>
      <w:r>
        <w:rPr>
          <w:bCs/>
          <w:b/>
        </w:rPr>
        <w:t xml:space="preserve">Material Supply Chain Volatility:</w:t>
      </w:r>
      <w:r>
        <w:t xml:space="preserve"> </w:t>
      </w:r>
      <w:r>
        <w:t xml:space="preserve">Rising costs of sustainable timber prompted us to establish direct partnerships with certified suppliers in Antioquia. This reduced material costs by 7.2% while ensuring consistent quality for our Bogotá projects.</w:t>
      </w:r>
    </w:p>
    <w:p>
      <w:pPr>
        <w:numPr>
          <w:ilvl w:val="0"/>
          <w:numId w:val="1002"/>
        </w:numPr>
        <w:pStyle w:val="Compact"/>
      </w:pPr>
      <w:r>
        <w:rPr>
          <w:bCs/>
          <w:b/>
        </w:rPr>
        <w:t xml:space="preserve">Talent Retention:</w:t>
      </w:r>
      <w:r>
        <w:t xml:space="preserve"> </w:t>
      </w:r>
      <w:r>
        <w:t xml:space="preserve">The high demand for skilled carpenters across Colombia Bogotá created a competitive labor market. We implemented a professional development program with certified workshops, reducing turnover by 14% this quarter.</w:t>
      </w:r>
    </w:p>
    <w:p>
      <w:pPr>
        <w:numPr>
          <w:ilvl w:val="0"/>
          <w:numId w:val="1002"/>
        </w:numPr>
        <w:pStyle w:val="Compact"/>
      </w:pPr>
      <w:r>
        <w:rPr>
          <w:bCs/>
          <w:b/>
        </w:rPr>
        <w:t xml:space="preserve">Client Expectation Management:</w:t>
      </w:r>
      <w:r>
        <w:t xml:space="preserve"> </w:t>
      </w:r>
      <w:r>
        <w:t xml:space="preserve">Complex custom projects required enhanced communication protocols. We introduced digital project management tools that improved client satisfaction scores by 23% and reduced scope-change requests by 18%.</w:t>
      </w:r>
    </w:p>
    <w:bookmarkEnd w:id="24"/>
    <w:bookmarkStart w:id="25" w:name="productservice-performance-breakdown"/>
    <w:p>
      <w:pPr>
        <w:pStyle w:val="Heading2"/>
      </w:pPr>
      <w:r>
        <w:t xml:space="preserve">Product/Service Performance Breakdown</w:t>
      </w:r>
    </w:p>
    <w:p>
      <w:pPr>
        <w:pStyle w:val="FirstParagraph"/>
      </w:pPr>
      <w:r>
        <w:t xml:space="preserve">Our service portfolio shows clear market preferences in Colombia's capital city:</w:t>
      </w:r>
    </w:p>
    <w:p>
      <w:pPr>
        <w:pStyle w:val="BodyText"/>
      </w:pPr>
      <w:r>
        <w:t xml:space="preserve">Service Category</w:t>
      </w:r>
    </w:p>
    <w:p>
      <w:pPr>
        <w:pStyle w:val="BodyText"/>
      </w:pPr>
      <w:r>
        <w:t xml:space="preserve">% of Total Revenue</w:t>
      </w:r>
    </w:p>
    <w:p>
      <w:pPr>
        <w:pStyle w:val="BodyText"/>
      </w:pPr>
      <w:r>
        <w:t xml:space="preserve">Growth vs. Previous Quarter</w:t>
      </w:r>
    </w:p>
    <w:p>
      <w:pPr>
        <w:pStyle w:val="BodyText"/>
      </w:pPr>
      <w:r>
        <w:t xml:space="preserve">Custom Kitchen Cabinetry</w:t>
      </w:r>
    </w:p>
    <w:p>
      <w:pPr>
        <w:pStyle w:val="BodyText"/>
      </w:pPr>
      <w:r>
        <w:t xml:space="preserve">32.1%</w:t>
      </w:r>
    </w:p>
    <w:p>
      <w:pPr>
        <w:pStyle w:val="BodyText"/>
      </w:pPr>
      <w:r>
        <w:t xml:space="preserve">+12.4%</w:t>
      </w:r>
    </w:p>
    <w:p>
      <w:pPr>
        <w:pStyle w:val="BodyText"/>
      </w:pPr>
      <w:r>
        <w:t xml:space="preserve">Built-in Furniture Systems</w:t>
      </w:r>
    </w:p>
    <w:p>
      <w:pPr>
        <w:pStyle w:val="BodyText"/>
      </w:pPr>
      <w:r>
        <w:t xml:space="preserve">26.7%</w:t>
      </w:r>
    </w:p>
    <w:p>
      <w:pPr>
        <w:pStyle w:val="BodyText"/>
      </w:pPr>
      <w:r>
        <w:t xml:space="preserve">+9.8%</w:t>
      </w:r>
    </w:p>
    <w:p>
      <w:pPr>
        <w:pStyle w:val="BodyText"/>
      </w:pPr>
      <w:r>
        <w:t xml:space="preserve">Residential Interior Woodwork</w:t>
      </w:r>
    </w:p>
    <w:p>
      <w:pPr>
        <w:pStyle w:val="BodyText"/>
      </w:pPr>
      <w:r>
        <w:t xml:space="preserve">21.3%</w:t>
      </w:r>
    </w:p>
    <w:p>
      <w:pPr>
        <w:pStyle w:val="BodyText"/>
      </w:pPr>
      <w:r>
        <w:t xml:space="preserve">+15.2%</w:t>
      </w:r>
    </w:p>
    <w:p>
      <w:pPr>
        <w:pStyle w:val="BodyText"/>
      </w:pPr>
      <w:r>
        <w:t xml:space="preserve">Commercial Fit-Out Solutions</w:t>
      </w:r>
    </w:p>
    <w:p>
      <w:pPr>
        <w:pStyle w:val="BodyText"/>
      </w:pPr>
      <w:r>
        <w:t xml:space="preserve">19.9%</w:t>
      </w:r>
    </w:p>
    <w:p>
      <w:pPr>
        <w:pStyle w:val="BodyText"/>
      </w:pPr>
      <w:r>
        <w:t xml:space="preserve">+34.5%</w:t>
      </w:r>
    </w:p>
    <w:bookmarkEnd w:id="25"/>
    <w:bookmarkStart w:id="26" w:name="strategic-recommendations-for-q4-2023"/>
    <w:p>
      <w:pPr>
        <w:pStyle w:val="Heading2"/>
      </w:pPr>
      <w:r>
        <w:t xml:space="preserve">Strategic Recommendations for Q4 2023</w:t>
      </w:r>
    </w:p>
    <w:p>
      <w:pPr>
        <w:pStyle w:val="FirstParagraph"/>
      </w:pPr>
      <w:r>
        <w:t xml:space="preserve">Based on this Sales Report, we recommend the following actions to capitalize on Bogotá's growing carpentry market:</w:t>
      </w:r>
    </w:p>
    <w:p>
      <w:pPr>
        <w:numPr>
          <w:ilvl w:val="0"/>
          <w:numId w:val="1003"/>
        </w:numPr>
        <w:pStyle w:val="Compact"/>
      </w:pPr>
      <w:r>
        <w:rPr>
          <w:bCs/>
          <w:b/>
        </w:rPr>
        <w:t xml:space="preserve">Expand Commercial Division:</w:t>
      </w:r>
      <w:r>
        <w:t xml:space="preserve"> </w:t>
      </w:r>
      <w:r>
        <w:t xml:space="preserve">Allocate additional resources to capture the 42% year-over-year growth in commercial projects. Target retail chains and co-working space developers in Bogotá's business corridors.</w:t>
      </w:r>
    </w:p>
    <w:p>
      <w:pPr>
        <w:numPr>
          <w:ilvl w:val="0"/>
          <w:numId w:val="1003"/>
        </w:numPr>
        <w:pStyle w:val="Compact"/>
      </w:pPr>
      <w:r>
        <w:rPr>
          <w:bCs/>
          <w:b/>
        </w:rPr>
        <w:t xml:space="preserve">Develop Eco-Product Line:</w:t>
      </w:r>
      <w:r>
        <w:t xml:space="preserve"> </w:t>
      </w:r>
      <w:r>
        <w:t xml:space="preserve">Launch a "Green Carpenter" certification program highlighting sustainable materials, addressing Colombia's rising environmental consciousness.</w:t>
      </w:r>
    </w:p>
    <w:p>
      <w:pPr>
        <w:numPr>
          <w:ilvl w:val="0"/>
          <w:numId w:val="1003"/>
        </w:numPr>
        <w:pStyle w:val="Compact"/>
      </w:pPr>
      <w:r>
        <w:rPr>
          <w:bCs/>
          <w:b/>
        </w:rPr>
        <w:t xml:space="preserve">Implement Digital Marketing Campaign:</w:t>
      </w:r>
      <w:r>
        <w:t xml:space="preserve"> </w:t>
      </w:r>
      <w:r>
        <w:t xml:space="preserve">Focus on social media targeting Bogotá homeowners seeking custom carpentry services, leveraging before/after project visuals for high engagement.</w:t>
      </w:r>
    </w:p>
    <w:p>
      <w:pPr>
        <w:numPr>
          <w:ilvl w:val="0"/>
          <w:numId w:val="1003"/>
        </w:numPr>
        <w:pStyle w:val="Compact"/>
      </w:pPr>
      <w:r>
        <w:rPr>
          <w:bCs/>
          <w:b/>
        </w:rPr>
        <w:t xml:space="preserve">Establish Strategic Partnerships:</w:t>
      </w:r>
      <w:r>
        <w:t xml:space="preserve"> </w:t>
      </w:r>
      <w:r>
        <w:t xml:space="preserve">Collaborate with 3 major interior designers in Colombia Bogotá to create integrated service offerings, expanding our client base through referrals.</w:t>
      </w:r>
    </w:p>
    <w:bookmarkEnd w:id="26"/>
    <w:bookmarkStart w:id="27" w:name="conclusion"/>
    <w:p>
      <w:pPr>
        <w:pStyle w:val="Heading2"/>
      </w:pPr>
      <w:r>
        <w:t xml:space="preserve">Conclusion</w:t>
      </w:r>
    </w:p>
    <w:p>
      <w:pPr>
        <w:pStyle w:val="FirstParagraph"/>
      </w:pPr>
      <w:r>
        <w:t xml:space="preserve">This Sales Report confirms that our Carpenter business has successfully navigated the complexities of Colombia Bogotá's competitive market while delivering exceptional growth. The strategic shift toward premium custom solutions and sustainable practices has resonated strongly with both residential and commercial clients across the capital city. As we move into Q4, we project continued momentum with an anticipated 20-25% revenue increase driven by our established client base and targeted expansion in high-growth sectors. Our position as a trusted Carpenter provider in Bogotá remains solidified through quality craftsmanship, reliable service delivery, and responsive adaptation to Colombia's evolving construction demands.</w:t>
      </w:r>
    </w:p>
    <w:p>
      <w:pPr>
        <w:pStyle w:val="BodyText"/>
      </w:pPr>
      <w:r>
        <w:t xml:space="preserve">Sales Report for Professional Carpenter Services | Colombia Bogotá Market Analysis | October 2023</w:t>
      </w:r>
    </w:p>
    <w:p>
      <w:pPr>
        <w:pStyle w:val="BodyText"/>
      </w:pPr>
      <w:r>
        <w:t xml:space="preserve">Confidential: Prepared for internal management use only. All data sourced from Bogotá market research and company sales records.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Bogotá Carpenter Business</dc:title>
  <dc:creator/>
  <dc:language>en</dc:language>
  <cp:keywords/>
  <dcterms:created xsi:type="dcterms:W3CDTF">2025-12-11T13:15:11Z</dcterms:created>
  <dcterms:modified xsi:type="dcterms:W3CDTF">2025-12-11T13:15:11Z</dcterms:modified>
</cp:coreProperties>
</file>

<file path=docProps/custom.xml><?xml version="1.0" encoding="utf-8"?>
<Properties xmlns="http://schemas.openxmlformats.org/officeDocument/2006/custom-properties" xmlns:vt="http://schemas.openxmlformats.org/officeDocument/2006/docPropsVTypes"/>
</file>