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Berlin,</w:t>
      </w:r>
      <w:r>
        <w:t xml:space="preserve"> </w:t>
      </w:r>
      <w:r>
        <w:t xml:space="preserve">Germany</w:t>
      </w:r>
    </w:p>
    <w:bookmarkStart w:id="27" w:name="X2f6d9e960ebc3e16f19f2b32278ace7750a47ac"/>
    <w:p>
      <w:pPr>
        <w:pStyle w:val="Heading1"/>
      </w:pPr>
      <w:r>
        <w:t xml:space="preserve">Sales Report: Premium Carpenter Services Market Analysis and Performance in Berlin, Germany</w:t>
      </w:r>
    </w:p>
    <w:bookmarkStart w:id="20" w:name="executive-summary"/>
    <w:p>
      <w:pPr>
        <w:pStyle w:val="Heading2"/>
      </w:pPr>
      <w:r>
        <w:t xml:space="preserve">Executive Summary</w:t>
      </w:r>
    </w:p>
    <w:p>
      <w:pPr>
        <w:pStyle w:val="FirstParagraph"/>
      </w:pPr>
      <w:r>
        <w:t xml:space="preserve">This comprehensive Sales Report details the performance of specialized carpentry services within the dynamic construction and renovation sector of Berlin, Germany. As a leading provider of bespoke carpenter solutions across the city, our Q3 2023 results demonstrate exceptional growth in both residential and commercial markets. The report analyzes key sales drivers, market positioning against local competitors, customer acquisition strategies tailored to Berlin's unique demands, and actionable recommendations for sustained expansion. With Berlin's construction sector contributing significantly to Germany's economic resilience (estimated at €14.7 billion in 2023), our Carpenter division has emerged as a critical asset driving revenue growth.</w:t>
      </w:r>
    </w:p>
    <w:bookmarkEnd w:id="20"/>
    <w:bookmarkStart w:id="21" w:name="market-analysis-berlin-context"/>
    <w:p>
      <w:pPr>
        <w:pStyle w:val="Heading2"/>
      </w:pPr>
      <w:r>
        <w:t xml:space="preserve">Market Analysis: Berlin Context</w:t>
      </w:r>
    </w:p>
    <w:p>
      <w:pPr>
        <w:pStyle w:val="FirstParagraph"/>
      </w:pPr>
      <w:r>
        <w:t xml:space="preserve">Berlin represents a high-potential market for skilled Carpenter services due to its status as Germany's most populous city and fastest-growing construction hub. The city faces an acute housing shortage, with over 450,000 new apartments required by 2030 (Berlin Senate Department for Urban Development). This demand fuels consistent need for carpenters specializing in:</w:t>
      </w:r>
    </w:p>
    <w:p>
      <w:pPr>
        <w:numPr>
          <w:ilvl w:val="0"/>
          <w:numId w:val="1001"/>
        </w:numPr>
        <w:pStyle w:val="Compact"/>
      </w:pPr>
      <w:r>
        <w:t xml:space="preserve">Renovation of historic buildings (notably pre-1945 architecture requiring traditional carpentry techniques)</w:t>
      </w:r>
    </w:p>
    <w:p>
      <w:pPr>
        <w:numPr>
          <w:ilvl w:val="0"/>
          <w:numId w:val="1001"/>
        </w:numPr>
        <w:pStyle w:val="Compact"/>
      </w:pPr>
      <w:r>
        <w:t xml:space="preserve">Custom timber framing for modern eco-housing projects</w:t>
      </w:r>
    </w:p>
    <w:p>
      <w:pPr>
        <w:numPr>
          <w:ilvl w:val="0"/>
          <w:numId w:val="1001"/>
        </w:numPr>
        <w:pStyle w:val="Compact"/>
      </w:pPr>
      <w:r>
        <w:t xml:space="preserve">High-end interior woodwork in premium residential developments</w:t>
      </w:r>
    </w:p>
    <w:p>
      <w:pPr>
        <w:pStyle w:val="FirstParagraph"/>
      </w:pPr>
      <w:r>
        <w:t xml:space="preserve">Germany's stringent building standards (DIN 68800) and focus on sustainability have elevated the value of certified carpenter services. Berlin's "Green City" initiative further amplifies demand for carpenters trained in FSC-certified wood solutions and energy-efficient joinery. Our localized approach—combining traditional craftsmanship with modern German compliance—has positioned us as a preferred partner for architects like HPP Architekten and developers such as Deutsche Wohnen.</w:t>
      </w:r>
    </w:p>
    <w:bookmarkEnd w:id="21"/>
    <w:bookmarkStart w:id="22" w:name="sales-performance-breakdown"/>
    <w:p>
      <w:pPr>
        <w:pStyle w:val="Heading2"/>
      </w:pPr>
      <w:r>
        <w:t xml:space="preserve">Sales Performance Breakdown</w:t>
      </w:r>
    </w:p>
    <w:p>
      <w:pPr>
        <w:pStyle w:val="FirstParagraph"/>
      </w:pPr>
      <w:r>
        <w:t xml:space="preserve">Our Carpenter division achieved €1.87 million in Q3 2023 revenue, representing a 24% year-over-year increase. Key drivers include:</w:t>
      </w:r>
    </w:p>
    <w:p>
      <w:pPr>
        <w:pStyle w:val="BodyText"/>
      </w:pPr>
      <w:r>
        <w:t xml:space="preserve">Service Category</w:t>
      </w:r>
    </w:p>
    <w:p>
      <w:pPr>
        <w:pStyle w:val="BodyText"/>
      </w:pPr>
      <w:r>
        <w:t xml:space="preserve">Revenue (€)</w:t>
      </w:r>
    </w:p>
    <w:p>
      <w:pPr>
        <w:pStyle w:val="BodyText"/>
      </w:pPr>
      <w:r>
        <w:t xml:space="preserve">% of Total</w:t>
      </w:r>
    </w:p>
    <w:p>
      <w:pPr>
        <w:pStyle w:val="BodyText"/>
      </w:pPr>
      <w:r>
        <w:t xml:space="preserve">Growth YoY</w:t>
      </w:r>
    </w:p>
    <w:p>
      <w:pPr>
        <w:pStyle w:val="BodyText"/>
      </w:pPr>
      <w:r>
        <w:t xml:space="preserve">Residential Renovation (Berlin Inner City)</w:t>
      </w:r>
    </w:p>
    <w:p>
      <w:pPr>
        <w:pStyle w:val="BodyText"/>
      </w:pPr>
      <w:r>
        <w:t xml:space="preserve">825,000</w:t>
      </w:r>
    </w:p>
    <w:p>
      <w:pPr>
        <w:pStyle w:val="BodyText"/>
      </w:pPr>
      <w:r>
        <w:t xml:space="preserve">44%</w:t>
      </w:r>
    </w:p>
    <w:p>
      <w:pPr>
        <w:pStyle w:val="BodyText"/>
      </w:pPr>
      <w:r>
        <w:t xml:space="preserve">29%</w:t>
      </w:r>
    </w:p>
    <w:p>
      <w:pPr>
        <w:pStyle w:val="BodyText"/>
      </w:pPr>
      <w:r>
        <w:t xml:space="preserve">New Construction Timber Framing</w:t>
      </w:r>
    </w:p>
    <w:p>
      <w:pPr>
        <w:pStyle w:val="BodyText"/>
      </w:pPr>
      <w:r>
        <w:t xml:space="preserve">610,000</w:t>
      </w:r>
    </w:p>
    <w:p>
      <w:pPr>
        <w:pStyle w:val="BodyText"/>
      </w:pPr>
      <w:r>
        <w:t xml:space="preserve">Commercial Interior Woodwork</w:t>
      </w:r>
    </w:p>
    <w:p>
      <w:pPr>
        <w:pStyle w:val="BodyText"/>
      </w:pPr>
      <w:r>
        <w:t xml:space="preserve">325,000</w:t>
      </w:r>
    </w:p>
    <w:p>
      <w:pPr>
        <w:pStyle w:val="BodyText"/>
      </w:pPr>
      <w:r>
        <w:t xml:space="preserve">c4.9%</w:t>
      </w:r>
    </w:p>
    <w:p>
      <w:pPr>
        <w:pStyle w:val="BodyText"/>
      </w:pPr>
      <w:r>
        <w:t xml:space="preserve">Sustainable Carpentry Solutions</w:t>
      </w:r>
    </w:p>
    <w:p>
      <w:pPr>
        <w:pStyle w:val="BodyText"/>
      </w:pPr>
      <w:r>
        <w:t xml:space="preserve">112,000</w:t>
      </w:r>
    </w:p>
    <w:p>
      <w:pPr>
        <w:pStyle w:val="BodyText"/>
      </w:pPr>
      <w:r>
        <w:t xml:space="preserve">The 29% YoY growth in residential renovation directly correlates with Berlin's "Mietspiegel" rent control policies incentivizing landlord upgrades. Our Carpenter team's rapid response times (avg. 48-hour quote delivery) and compliance with Berlin Building Authority (Bauordnung) requirements have secured contracts in high-demand districts like Neukölln, Friedrichshain, and Prenzlauer Berg.</w:t>
      </w:r>
    </w:p>
    <w:bookmarkEnd w:id="22"/>
    <w:bookmarkStart w:id="23" w:name="competitive-landscape-in-berlin"/>
    <w:p>
      <w:pPr>
        <w:pStyle w:val="Heading2"/>
      </w:pPr>
      <w:r>
        <w:t xml:space="preserve">Competitive Landscape in Berlin</w:t>
      </w:r>
    </w:p>
    <w:p>
      <w:pPr>
        <w:pStyle w:val="FirstParagraph"/>
      </w:pPr>
      <w:r>
        <w:t xml:space="preserve">While Berlin has over 1,800 carpentry businesses, our differentiated approach targets the premium segment. Key differentiators include:</w:t>
      </w:r>
    </w:p>
    <w:p>
      <w:pPr>
        <w:numPr>
          <w:ilvl w:val="0"/>
          <w:numId w:val="1002"/>
        </w:numPr>
        <w:pStyle w:val="Compact"/>
      </w:pPr>
      <w:r>
        <w:rPr>
          <w:bCs/>
          <w:b/>
        </w:rPr>
        <w:t xml:space="preserve">Local Expertise:</w:t>
      </w:r>
      <w:r>
        <w:t xml:space="preserve"> </w:t>
      </w:r>
      <w:r>
        <w:t xml:space="preserve">All Carpenter staff hold BAU-Handwerk certification and specialize in Berlin's unique architectural constraints (e.g., historic facade regulations)</w:t>
      </w:r>
    </w:p>
    <w:p>
      <w:pPr>
        <w:numPr>
          <w:ilvl w:val="0"/>
          <w:numId w:val="1002"/>
        </w:numPr>
        <w:pStyle w:val="Compact"/>
      </w:pPr>
      <w:r>
        <w:rPr>
          <w:bCs/>
          <w:b/>
        </w:rPr>
        <w:t xml:space="preserve">Sustainability Focus:</w:t>
      </w:r>
      <w:r>
        <w:t xml:space="preserve"> </w:t>
      </w:r>
      <w:r>
        <w:t xml:space="preserve">92% of projects use locally sourced, FSC-certified timber—addressing Berlin's climate action goals</w:t>
      </w:r>
    </w:p>
    <w:p>
      <w:pPr>
        <w:numPr>
          <w:ilvl w:val="0"/>
          <w:numId w:val="1002"/>
        </w:numPr>
        <w:pStyle w:val="Compact"/>
      </w:pPr>
      <w:r>
        <w:rPr>
          <w:bCs/>
          <w:b/>
        </w:rPr>
        <w:t xml:space="preserve">Digital Integration:</w:t>
      </w:r>
      <w:r>
        <w:t xml:space="preserve"> </w:t>
      </w:r>
      <w:r>
        <w:t xml:space="preserve">Our "BerlinCarpenter" app enables real-time progress tracking for clients, aligning with Germany's digital construction trends (BIM adoption in 65% of Berlin projects)</w:t>
      </w:r>
    </w:p>
    <w:p>
      <w:pPr>
        <w:pStyle w:val="FirstParagraph"/>
      </w:pPr>
      <w:r>
        <w:t xml:space="preserve">Competitors like "Holzmann Berlin" focus on low-cost general carpentry but lack our specialization in sustainable luxury renovations. This positions us to command 22% higher average project value than market peers.</w:t>
      </w:r>
    </w:p>
    <w:bookmarkEnd w:id="23"/>
    <w:bookmarkStart w:id="24" w:name="challenges-strategic-solutions"/>
    <w:p>
      <w:pPr>
        <w:pStyle w:val="Heading2"/>
      </w:pPr>
      <w:r>
        <w:t xml:space="preserve">Challenges &amp; Strategic Solutions</w:t>
      </w:r>
    </w:p>
    <w:p>
      <w:pPr>
        <w:pStyle w:val="FirstParagraph"/>
      </w:pPr>
      <w:r>
        <w:t xml:space="preserve">We faced two critical challenges in the Berlin market:</w:t>
      </w:r>
    </w:p>
    <w:p>
      <w:pPr>
        <w:numPr>
          <w:ilvl w:val="0"/>
          <w:numId w:val="1003"/>
        </w:numPr>
        <w:pStyle w:val="Compact"/>
      </w:pPr>
      <w:r>
        <w:rPr>
          <w:bCs/>
          <w:b/>
        </w:rPr>
        <w:t xml:space="preserve">Skilled Labor Shortage:</w:t>
      </w:r>
      <w:r>
        <w:t xml:space="preserve"> </w:t>
      </w:r>
      <w:r>
        <w:t xml:space="preserve">Berlin reports a 17% deficit in certified carpenters (IHK Berlin 2023). *Solution:* Launched "Berlin Carpenter Academy" with vocational schools like Berufsfachschule Holzbau, offering apprenticeships with guaranteed employment post-certification.</w:t>
      </w:r>
    </w:p>
    <w:p>
      <w:pPr>
        <w:numPr>
          <w:ilvl w:val="0"/>
          <w:numId w:val="1003"/>
        </w:numPr>
        <w:pStyle w:val="Compact"/>
      </w:pPr>
      <w:r>
        <w:rPr>
          <w:bCs/>
          <w:b/>
        </w:rPr>
        <w:t xml:space="preserve">Regulatory Complexity:</w:t>
      </w:r>
      <w:r>
        <w:t xml:space="preserve"> </w:t>
      </w:r>
      <w:r>
        <w:t xml:space="preserve">Navigating Berlin's district-specific building codes. *Solution:* Developed proprietary digital compliance toolkit integrated into our CRM system, reducing permit delays by 35%.</w:t>
      </w:r>
    </w:p>
    <w:bookmarkEnd w:id="24"/>
    <w:bookmarkStart w:id="25" w:name="X64bc2da6ddb9464782e35423d078ee85da4c973"/>
    <w:p>
      <w:pPr>
        <w:pStyle w:val="Heading2"/>
      </w:pPr>
      <w:r>
        <w:t xml:space="preserve">Future Strategy: Growth in Germany's Capital</w:t>
      </w:r>
    </w:p>
    <w:p>
      <w:pPr>
        <w:pStyle w:val="FirstParagraph"/>
      </w:pPr>
      <w:r>
        <w:t xml:space="preserve">To capitalize on Berlin's market trajectory, our Carpenter division will pursue three strategic initiatives:</w:t>
      </w:r>
    </w:p>
    <w:p>
      <w:pPr>
        <w:numPr>
          <w:ilvl w:val="0"/>
          <w:numId w:val="1004"/>
        </w:numPr>
        <w:pStyle w:val="Compact"/>
      </w:pPr>
      <w:r>
        <w:rPr>
          <w:bCs/>
          <w:b/>
        </w:rPr>
        <w:t xml:space="preserve">Expand Sustainable Carpentry Portfolio:</w:t>
      </w:r>
      <w:r>
        <w:t xml:space="preserve"> </w:t>
      </w:r>
      <w:r>
        <w:t xml:space="preserve">Partner with Berlin Climate Office to develop "Carbon-Neutral Renovation Packages" targeting 30% of new contracts by Q1 2024.</w:t>
      </w:r>
    </w:p>
    <w:p>
      <w:pPr>
        <w:numPr>
          <w:ilvl w:val="0"/>
          <w:numId w:val="1004"/>
        </w:numPr>
        <w:pStyle w:val="Compact"/>
      </w:pPr>
      <w:r>
        <w:rPr>
          <w:bCs/>
          <w:b/>
        </w:rPr>
        <w:t xml:space="preserve">Digital Service Enhancement:</w:t>
      </w:r>
      <w:r>
        <w:t xml:space="preserve"> </w:t>
      </w:r>
      <w:r>
        <w:t xml:space="preserve">Integrate AR tools allowing clients to visualize custom carpentry solutions in their Berlin homes via smartphone.</w:t>
      </w:r>
    </w:p>
    <w:p>
      <w:pPr>
        <w:numPr>
          <w:ilvl w:val="0"/>
          <w:numId w:val="1004"/>
        </w:numPr>
        <w:pStyle w:val="Compact"/>
      </w:pPr>
      <w:r>
        <w:rPr>
          <w:bCs/>
          <w:b/>
        </w:rPr>
        <w:t xml:space="preserve">Strategic Partnerships:</w:t>
      </w:r>
      <w:r>
        <w:t xml:space="preserve"> </w:t>
      </w:r>
      <w:r>
        <w:t xml:space="preserve">Collaborate with Berlin-based architects on major projects like "HafenCity" developments, securing 50+ new contracts by end of 2024.</w:t>
      </w:r>
    </w:p>
    <w:bookmarkEnd w:id="25"/>
    <w:bookmarkStart w:id="26" w:name="conclusion"/>
    <w:p>
      <w:pPr>
        <w:pStyle w:val="Heading2"/>
      </w:pPr>
      <w:r>
        <w:t xml:space="preserve">Conclusion</w:t>
      </w:r>
    </w:p>
    <w:p>
      <w:pPr>
        <w:pStyle w:val="FirstParagraph"/>
      </w:pPr>
      <w:r>
        <w:t xml:space="preserve">The Berlin carpenter market presents exceptional opportunities for specialized service providers aligned with Germany's construction evolution. Our Q3 results confirm that targeted sales strategies addressing Berlin-specific needs—historical preservation, sustainability mandates, and regulatory complexity—yield superior returns. By maintaining our commitment to German craftsmanship standards while innovating for Berlin's unique urban challenges, the Carpenter division is positioned to exceed €7 million in annual revenue by 2025. As Germany's largest city continues its construction boom, our ability to deliver premium carpentry solutions will remain central to this Sales Report's narrative of growth and market leadership.</w:t>
      </w:r>
    </w:p>
    <w:p>
      <w:pPr>
        <w:pStyle w:val="BodyText"/>
      </w:pPr>
      <w:r>
        <w:rPr>
          <w:bCs/>
          <w:b/>
        </w:rPr>
        <w:t xml:space="preserve">Prepared For:</w:t>
      </w:r>
      <w:r>
        <w:t xml:space="preserve"> </w:t>
      </w:r>
      <w:r>
        <w:t xml:space="preserve">Management Team, Germany Operations</w:t>
      </w:r>
      <w:r>
        <w:br/>
      </w:r>
      <w:r>
        <w:rPr>
          <w:bCs/>
          <w:b/>
        </w:rPr>
        <w:t xml:space="preserve">Date:</w:t>
      </w:r>
      <w:r>
        <w:t xml:space="preserve"> </w:t>
      </w:r>
      <w:r>
        <w:t xml:space="preserve">October 26, 2023</w:t>
      </w:r>
      <w:r>
        <w:br/>
      </w:r>
      <w:r>
        <w:rPr>
          <w:bCs/>
          <w:b/>
        </w:rPr>
        <w:t xml:space="preserve">Report Scope:</w:t>
      </w:r>
      <w:r>
        <w:t xml:space="preserve"> </w:t>
      </w:r>
      <w:r>
        <w:t xml:space="preserve">Berlin Carpenter Service Division Performance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Carpenter Services in Berlin, Germany</dc:title>
  <dc:creator/>
  <dc:language>en</dc:language>
  <cp:keywords/>
  <dcterms:created xsi:type="dcterms:W3CDTF">2026-07-20T05:57:30Z</dcterms:created>
  <dcterms:modified xsi:type="dcterms:W3CDTF">2026-07-20T05:57:30Z</dcterms:modified>
</cp:coreProperties>
</file>

<file path=docProps/custom.xml><?xml version="1.0" encoding="utf-8"?>
<Properties xmlns="http://schemas.openxmlformats.org/officeDocument/2006/custom-properties" xmlns:vt="http://schemas.openxmlformats.org/officeDocument/2006/docPropsVTypes"/>
</file>