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8" w:name="X724387699b8425b544406a029b9ae818970b724"/>
    <w:p>
      <w:pPr>
        <w:pStyle w:val="Heading1"/>
      </w:pPr>
      <w:r>
        <w:t xml:space="preserve">Sales Report: Carpenter Business Performance Analysis for Germany Munich Market</w:t>
      </w:r>
    </w:p>
    <w:bookmarkStart w:id="20" w:name="executive-summary"/>
    <w:p>
      <w:pPr>
        <w:pStyle w:val="Heading2"/>
      </w:pPr>
      <w:r>
        <w:t xml:space="preserve">Executive Summary</w:t>
      </w:r>
    </w:p>
    <w:p>
      <w:pPr>
        <w:pStyle w:val="FirstParagraph"/>
      </w:pPr>
      <w:r>
        <w:t xml:space="preserve">This comprehensive Sales Report details the performance of our premium carpentry services across the dynamic market landscape of Germany Munich. As a leading provider of custom woodworking solutions, we've navigated unique urban challenges while capitalizing on Munich's booming construction and renovation sector. This document provides an in-depth analysis of our Q3 2023 sales trajectory, market positioning within Bavaria's economic hub, and strategic recommendations for sustainable growth. The data underscores our resilience as a specialized Carpenter business operating at the intersection of traditional craftsmanship and modern German architectural demands.</w:t>
      </w:r>
    </w:p>
    <w:bookmarkEnd w:id="20"/>
    <w:bookmarkStart w:id="21" w:name="Xd73bafadb62cea32c24c85ddd60f9fd394e72b9"/>
    <w:p>
      <w:pPr>
        <w:pStyle w:val="Heading2"/>
      </w:pPr>
      <w:r>
        <w:t xml:space="preserve">Market Context: Munich's Construction Landscape</w:t>
      </w:r>
    </w:p>
    <w:p>
      <w:pPr>
        <w:pStyle w:val="FirstParagraph"/>
      </w:pPr>
      <w:r>
        <w:t xml:space="preserve">Munich represents Germany's second-largest construction market after Berlin, with annual renovation investments exceeding €14 billion. The city's distinctive blend of historic architecture (notably the Altstadt quarter) and contemporary developments creates specialized demand for skilled Carpenter services. Our analysis reveals that 68% of Munich homeowners prioritize bespoke woodwork for heritage property restorations, while new luxury apartment complexes require precision carpentry for high-end finishes. This dual-market dynamic positions us advantageously as a Carpenter business bridging traditional artistry with modern engineering standards prevalent in Germany's premium housing sector.</w:t>
      </w:r>
    </w:p>
    <w:bookmarkEnd w:id="21"/>
    <w:bookmarkStart w:id="22" w:name="q3-2023-sales-performance-breakdown"/>
    <w:p>
      <w:pPr>
        <w:pStyle w:val="Heading2"/>
      </w:pPr>
      <w:r>
        <w:t xml:space="preserve">Q3 2023 Sales Performance Breakdown</w:t>
      </w:r>
    </w:p>
    <w:p>
      <w:pPr>
        <w:pStyle w:val="FirstParagraph"/>
      </w:pPr>
      <w:r>
        <w:rPr>
          <w:bCs/>
          <w:b/>
        </w:rPr>
        <w:t xml:space="preserve">Revenue Growth:</w:t>
      </w:r>
      <w:r>
        <w:t xml:space="preserve"> </w:t>
      </w:r>
      <w:r>
        <w:t xml:space="preserve">Total sales reached €487,500 in Q3, representing a 19.7% year-over-year increase and exceeding our target by 14%. This growth outperforms Munich's average construction sector growth rate of 8.2% (Federal Statistical Office data).</w:t>
      </w:r>
    </w:p>
    <w:p>
      <w:pPr>
        <w:pStyle w:val="BodyText"/>
      </w:pPr>
      <w:r>
        <w:rPr>
          <w:bCs/>
          <w:b/>
        </w:rPr>
        <w:t xml:space="preserve">Service Portfolio Performance:</w:t>
      </w:r>
    </w:p>
    <w:p>
      <w:pPr>
        <w:numPr>
          <w:ilvl w:val="0"/>
          <w:numId w:val="1001"/>
        </w:numPr>
        <w:pStyle w:val="Compact"/>
      </w:pPr>
      <w:r>
        <w:rPr>
          <w:bCs/>
          <w:b/>
        </w:rPr>
        <w:t xml:space="preserve">Residential Renovation:</w:t>
      </w:r>
      <w:r>
        <w:t xml:space="preserve"> </w:t>
      </w:r>
      <w:r>
        <w:t xml:space="preserve">€285,000 (58.4% of total) - Surged 23.1% due to increased demand for oak parquet flooring installations in Munich's historic districts</w:t>
      </w:r>
    </w:p>
    <w:p>
      <w:pPr>
        <w:numPr>
          <w:ilvl w:val="0"/>
          <w:numId w:val="1001"/>
        </w:numPr>
        <w:pStyle w:val="Compact"/>
      </w:pPr>
      <w:r>
        <w:rPr>
          <w:bCs/>
          <w:b/>
        </w:rPr>
        <w:t xml:space="preserve">Luxury Custom Furniture:</w:t>
      </w:r>
      <w:r>
        <w:t xml:space="preserve"> </w:t>
      </w:r>
      <w:r>
        <w:t xml:space="preserve">€142,750 (29.3%) - 31% growth driven by high-net-worth clients seeking artisanal kitchen cabinetry</w:t>
      </w:r>
    </w:p>
    <w:p>
      <w:pPr>
        <w:numPr>
          <w:ilvl w:val="0"/>
          <w:numId w:val="1001"/>
        </w:numPr>
        <w:pStyle w:val="Compact"/>
      </w:pPr>
      <w:r>
        <w:rPr>
          <w:bCs/>
          <w:b/>
        </w:rPr>
        <w:t xml:space="preserve">Commercial Projects:</w:t>
      </w:r>
      <w:r>
        <w:t xml:space="preserve"> </w:t>
      </w:r>
      <w:r>
        <w:t xml:space="preserve">€59,750 (12.3%) - New contracts with Munich-based corporate office developers for boardroom furniture installations</w:t>
      </w:r>
    </w:p>
    <w:p>
      <w:pPr>
        <w:pStyle w:val="FirstParagraph"/>
      </w:pPr>
      <w:r>
        <w:rPr>
          <w:bCs/>
          <w:b/>
        </w:rPr>
        <w:t xml:space="preserve">Geographic Distribution:</w:t>
      </w:r>
      <w:r>
        <w:t xml:space="preserve"> </w:t>
      </w:r>
      <w:r>
        <w:t xml:space="preserve">74% of sales originated from Munich proper, with 18% from surrounding regions (Freising, Eching) and 8% from international clients attracted by our German certification standards. Notably, the Sendlinger Tor and Schwabing districts accounted for 35% of residential projects due to their concentration of high-value properties requiring specialized carpentry services.</w:t>
      </w:r>
    </w:p>
    <w:bookmarkEnd w:id="22"/>
    <w:bookmarkStart w:id="23" w:name="Xa8f2ff579000eb067479465ac2080ac73f5da8a"/>
    <w:p>
      <w:pPr>
        <w:pStyle w:val="Heading2"/>
      </w:pPr>
      <w:r>
        <w:t xml:space="preserve">Competitive Differentiation in Munich's Market</w:t>
      </w:r>
    </w:p>
    <w:p>
      <w:pPr>
        <w:pStyle w:val="FirstParagraph"/>
      </w:pPr>
      <w:r>
        <w:t xml:space="preserve">Our Carpenter business maintains a distinct advantage through three key differentiators:</w:t>
      </w:r>
    </w:p>
    <w:p>
      <w:pPr>
        <w:numPr>
          <w:ilvl w:val="0"/>
          <w:numId w:val="1002"/>
        </w:numPr>
        <w:pStyle w:val="Compact"/>
      </w:pPr>
      <w:r>
        <w:rPr>
          <w:bCs/>
          <w:b/>
        </w:rPr>
        <w:t xml:space="preserve">Bavarian Craftsmanship Certification:</w:t>
      </w:r>
      <w:r>
        <w:t xml:space="preserve"> </w:t>
      </w:r>
      <w:r>
        <w:t xml:space="preserve">We hold the exclusive "Münchner Handwerksmeister" certification, recognized by Munich's Chamber of Crafts (Handwerkskammer München) as meeting stricter quality standards than national averages. This certification directly influences 62% of new client acquisitions in our target market.</w:t>
      </w:r>
    </w:p>
    <w:p>
      <w:pPr>
        <w:numPr>
          <w:ilvl w:val="0"/>
          <w:numId w:val="1002"/>
        </w:numPr>
        <w:pStyle w:val="Compact"/>
      </w:pPr>
      <w:r>
        <w:rPr>
          <w:bCs/>
          <w:b/>
        </w:rPr>
        <w:t xml:space="preserve">Sustainable Material Sourcing:</w:t>
      </w:r>
      <w:r>
        <w:t xml:space="preserve"> </w:t>
      </w:r>
      <w:r>
        <w:t xml:space="preserve">Partnering with certified German timber producers (including Bavarian forests), we meet Munich's stringent environmental regulations under the "Bavaria Green Building Initiative." 87% of our current contracts reference this sustainability profile as a key selection factor.</w:t>
      </w:r>
    </w:p>
    <w:bookmarkEnd w:id="23"/>
    <w:bookmarkStart w:id="24" w:name="challenges-and-mitigation-strategies"/>
    <w:p>
      <w:pPr>
        <w:pStyle w:val="Heading2"/>
      </w:pPr>
      <w:r>
        <w:t xml:space="preserve">Challenges and Mitigation Strategies</w:t>
      </w:r>
    </w:p>
    <w:p>
      <w:pPr>
        <w:pStyle w:val="FirstParagraph"/>
      </w:pPr>
      <w:r>
        <w:t xml:space="preserve">Munich's market presents unique operational challenges requiring strategic adaptation:</w:t>
      </w:r>
    </w:p>
    <w:p>
      <w:pPr>
        <w:numPr>
          <w:ilvl w:val="0"/>
          <w:numId w:val="1003"/>
        </w:numPr>
        <w:pStyle w:val="Compact"/>
      </w:pPr>
      <w:r>
        <w:rPr>
          <w:bCs/>
          <w:b/>
        </w:rPr>
        <w:t xml:space="preserve">Material Cost Volatility:</w:t>
      </w:r>
      <w:r>
        <w:t xml:space="preserve"> </w:t>
      </w:r>
      <w:r>
        <w:t xml:space="preserve">Rising timber prices (up 17% YoY) were offset by our direct sourcing agreements with Bavarian suppliers. We implemented fixed-price contracts for 65% of Q3 projects, protecting client budgets while maintaining margins.</w:t>
      </w:r>
    </w:p>
    <w:p>
      <w:pPr>
        <w:numPr>
          <w:ilvl w:val="0"/>
          <w:numId w:val="1003"/>
        </w:numPr>
        <w:pStyle w:val="Compact"/>
      </w:pPr>
      <w:r>
        <w:rPr>
          <w:bCs/>
          <w:b/>
        </w:rPr>
        <w:t xml:space="preserve">Labor Shortages:</w:t>
      </w:r>
      <w:r>
        <w:t xml:space="preserve"> </w:t>
      </w:r>
      <w:r>
        <w:t xml:space="preserve">Munich's skilled Carpenter shortage (22% vacancy rate in construction sector) was addressed through targeted apprenticeship programs with Munich's vocational schools, increasing our trained workforce by 18%.</w:t>
      </w:r>
    </w:p>
    <w:p>
      <w:pPr>
        <w:numPr>
          <w:ilvl w:val="0"/>
          <w:numId w:val="1003"/>
        </w:numPr>
        <w:pStyle w:val="Compact"/>
      </w:pPr>
      <w:r>
        <w:rPr>
          <w:bCs/>
          <w:b/>
        </w:rPr>
        <w:t xml:space="preserve">Regulatory Complexity:</w:t>
      </w:r>
      <w:r>
        <w:t xml:space="preserve"> </w:t>
      </w:r>
      <w:r>
        <w:t xml:space="preserve">Navigating Munich's stringent building codes for historic districts required specialized compliance training. Our team now holds mandatory certification from the City of Munich's Historic Preservation Office, eliminating project delays in heritage zones.</w:t>
      </w:r>
    </w:p>
    <w:bookmarkEnd w:id="24"/>
    <w:bookmarkStart w:id="25" w:name="opportunities-in-germany-munich-market"/>
    <w:p>
      <w:pPr>
        <w:pStyle w:val="Heading2"/>
      </w:pPr>
      <w:r>
        <w:t xml:space="preserve">Opportunities in Germany Munich Market</w:t>
      </w:r>
    </w:p>
    <w:p>
      <w:pPr>
        <w:pStyle w:val="FirstParagraph"/>
      </w:pPr>
      <w:r>
        <w:t xml:space="preserve">Emerging trends present significant growth avenues:</w:t>
      </w:r>
    </w:p>
    <w:p>
      <w:pPr>
        <w:numPr>
          <w:ilvl w:val="0"/>
          <w:numId w:val="1004"/>
        </w:numPr>
        <w:pStyle w:val="Compact"/>
      </w:pPr>
      <w:r>
        <w:rPr>
          <w:bCs/>
          <w:b/>
        </w:rPr>
        <w:t xml:space="preserve">Green Construction Boom:</w:t>
      </w:r>
      <w:r>
        <w:t xml:space="preserve"> </w:t>
      </w:r>
      <w:r>
        <w:t xml:space="preserve">Munich's 2030 climate neutrality target drives demand for sustainable wood solutions. We're developing a new "Carbon-Neutral Wood" service line using locally sourced, certified timber – already attracting interest from 12 major Munich developers.</w:t>
      </w:r>
    </w:p>
    <w:p>
      <w:pPr>
        <w:numPr>
          <w:ilvl w:val="0"/>
          <w:numId w:val="1004"/>
        </w:numPr>
        <w:pStyle w:val="Compact"/>
      </w:pPr>
      <w:r>
        <w:rPr>
          <w:bCs/>
          <w:b/>
        </w:rPr>
        <w:t xml:space="preserve">Digital Integration Demand:</w:t>
      </w:r>
      <w:r>
        <w:t xml:space="preserve"> </w:t>
      </w:r>
      <w:r>
        <w:t xml:space="preserve">45% of Munich clients now request VR visualization of carpentry projects. Our recent investment in digital project planning tools has reduced consultation time by 30% and increased conversion rates.</w:t>
      </w:r>
    </w:p>
    <w:p>
      <w:pPr>
        <w:numPr>
          <w:ilvl w:val="0"/>
          <w:numId w:val="1004"/>
        </w:numPr>
        <w:pStyle w:val="Compact"/>
      </w:pPr>
      <w:r>
        <w:rPr>
          <w:bCs/>
          <w:b/>
        </w:rPr>
        <w:t xml:space="preserve">Senior Housing Expansion:</w:t>
      </w:r>
      <w:r>
        <w:t xml:space="preserve"> </w:t>
      </w:r>
      <w:r>
        <w:t xml:space="preserve">With Munich's aging population, specialized accessibility-focused carpentry (ramp installations, grab bar systems) shows 28% quarterly growth – an area we're aggressively entering.</w:t>
      </w:r>
    </w:p>
    <w:bookmarkEnd w:id="25"/>
    <w:bookmarkStart w:id="26" w:name="strategic-recommendations-for-q4-2023"/>
    <w:p>
      <w:pPr>
        <w:pStyle w:val="Heading2"/>
      </w:pPr>
      <w:r>
        <w:t xml:space="preserve">Strategic Recommendations for Q4 2023</w:t>
      </w:r>
    </w:p>
    <w:p>
      <w:pPr>
        <w:pStyle w:val="FirstParagraph"/>
      </w:pPr>
      <w:r>
        <w:t xml:space="preserve">To capitalize on Munich's market potential, we recommend:</w:t>
      </w:r>
    </w:p>
    <w:p>
      <w:pPr>
        <w:numPr>
          <w:ilvl w:val="0"/>
          <w:numId w:val="1005"/>
        </w:numPr>
        <w:pStyle w:val="Compact"/>
      </w:pPr>
      <w:r>
        <w:rPr>
          <w:bCs/>
          <w:b/>
        </w:rPr>
        <w:t xml:space="preserve">Expand Heritage Project Division:</w:t>
      </w:r>
      <w:r>
        <w:t xml:space="preserve"> </w:t>
      </w:r>
      <w:r>
        <w:t xml:space="preserve">Allocate 15% of Q4 budget to specialized team training for Munich's historic district regulations (focusing on the Marienplatz and Hofgarten areas).</w:t>
      </w:r>
    </w:p>
    <w:p>
      <w:pPr>
        <w:numPr>
          <w:ilvl w:val="0"/>
          <w:numId w:val="1005"/>
        </w:numPr>
        <w:pStyle w:val="Compact"/>
      </w:pPr>
      <w:r>
        <w:rPr>
          <w:bCs/>
          <w:b/>
        </w:rPr>
        <w:t xml:space="preserve">Leverage Munich Trade Shows:</w:t>
      </w:r>
      <w:r>
        <w:t xml:space="preserve"> </w:t>
      </w:r>
      <w:r>
        <w:t xml:space="preserve">Secure booth at the upcoming "Hofbräuhaus Bauherrenmarkt" trade fair to showcase sustainable carpentry solutions specifically designed for Bavarian architecture.</w:t>
      </w:r>
    </w:p>
    <w:p>
      <w:pPr>
        <w:numPr>
          <w:ilvl w:val="0"/>
          <w:numId w:val="1005"/>
        </w:numPr>
        <w:pStyle w:val="Compact"/>
      </w:pPr>
      <w:r>
        <w:rPr>
          <w:bCs/>
          <w:b/>
        </w:rPr>
        <w:t xml:space="preserve">Develop Digital Client Portal:</w:t>
      </w:r>
      <w:r>
        <w:t xml:space="preserve"> </w:t>
      </w:r>
      <w:r>
        <w:t xml:space="preserve">Launch a Munich-focused online platform allowing clients to visualize wood finishes on their property images, targeting the city's tech-savvy demographic.</w:t>
      </w:r>
    </w:p>
    <w:bookmarkEnd w:id="26"/>
    <w:bookmarkStart w:id="27" w:name="conclusion-future-outlook"/>
    <w:p>
      <w:pPr>
        <w:pStyle w:val="Heading2"/>
      </w:pPr>
      <w:r>
        <w:t xml:space="preserve">Conclusion: Future Outlook</w:t>
      </w:r>
    </w:p>
    <w:p>
      <w:pPr>
        <w:pStyle w:val="FirstParagraph"/>
      </w:pPr>
      <w:r>
        <w:t xml:space="preserve">The Sales Report confirms our Carpenter business is strategically positioned within Germany's most sophisticated woodworking market in Munich. With residential renovation demand remaining robust (projected 9.3% annual growth) and Munich's commitment to sustainable construction, we project Q4 revenue growth of 22-25%. Our success stems from deeply understanding local market nuances – the precise balance between preserving Bavarian architectural heritage while meeting modern German building standards. As a Carpenter business operating in Germany Munich, we've transformed regional challenges into competitive advantages through specialized certification, sustainable practices, and technological adaptation. This report affirms that our targeted approach to Munich's unique construction ecosystem will drive sustained growth beyond 2023, solidifying our position as the preferred premium Carpenter service provider across Bavaria's economic capital.</w:t>
      </w:r>
    </w:p>
    <w:p>
      <w:pPr>
        <w:pStyle w:val="BodyText"/>
      </w:pPr>
      <w:r>
        <w:rPr>
          <w:bCs/>
          <w:b/>
        </w:rPr>
        <w:t xml:space="preserve">Prepared for:</w:t>
      </w:r>
      <w:r>
        <w:t xml:space="preserve"> </w:t>
      </w:r>
      <w:r>
        <w:t xml:space="preserve">Management Team, Bavarian Chamber of Crafts (Handwerkskammer München) Stakeholders</w:t>
      </w:r>
      <w:r>
        <w:br/>
      </w:r>
      <w:r>
        <w:rPr>
          <w:bCs/>
          <w:b/>
        </w:rPr>
        <w:t xml:space="preserve">Date:</w:t>
      </w:r>
      <w:r>
        <w:t xml:space="preserve"> </w:t>
      </w:r>
      <w:r>
        <w:t xml:space="preserve">October 26, 2023</w:t>
      </w:r>
      <w:r>
        <w:br/>
      </w:r>
      <w:r>
        <w:rPr>
          <w:bCs/>
          <w:b/>
        </w:rPr>
        <w:t xml:space="preserve">Report Prepared By:</w:t>
      </w:r>
      <w:r>
        <w:t xml:space="preserve"> </w:t>
      </w:r>
      <w:r>
        <w:t xml:space="preserve">Sales &amp; Strategy Division, Munich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Business Performance in Germany Munich</dc:title>
  <dc:creator/>
  <dc:language>en</dc:language>
  <cp:keywords/>
  <dcterms:created xsi:type="dcterms:W3CDTF">2026-07-20T10:34:50Z</dcterms:created>
  <dcterms:modified xsi:type="dcterms:W3CDTF">2026-07-20T10:34:50Z</dcterms:modified>
</cp:coreProperties>
</file>

<file path=docProps/custom.xml><?xml version="1.0" encoding="utf-8"?>
<Properties xmlns="http://schemas.openxmlformats.org/officeDocument/2006/custom-properties" xmlns:vt="http://schemas.openxmlformats.org/officeDocument/2006/docPropsVTypes"/>
</file>