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Indonesia</w:t>
      </w:r>
      <w:r>
        <w:t xml:space="preserve"> </w:t>
      </w:r>
      <w:r>
        <w:t xml:space="preserve">Jakarta</w:t>
      </w:r>
      <w:r>
        <w:t xml:space="preserve"> </w:t>
      </w:r>
      <w:r>
        <w:t xml:space="preserve">Carpenter</w:t>
      </w:r>
      <w:r>
        <w:t xml:space="preserve"> </w:t>
      </w:r>
      <w:r>
        <w:t xml:space="preserve">Sales</w:t>
      </w:r>
      <w:r>
        <w:t xml:space="preserve"> </w:t>
      </w:r>
      <w:r>
        <w:t xml:space="preserve">Report</w:t>
      </w:r>
      <w:r>
        <w:t xml:space="preserve"> </w:t>
      </w:r>
      <w:r>
        <w:t xml:space="preserve">Q3</w:t>
      </w:r>
      <w:r>
        <w:t xml:space="preserve"> </w:t>
      </w:r>
      <w:r>
        <w:t xml:space="preserve">2024</w:t>
      </w:r>
    </w:p>
    <w:bookmarkStart w:id="30" w:name="X0c46ef5b8810ae968e3a42ad3926fc48bf60c15"/>
    <w:p>
      <w:pPr>
        <w:pStyle w:val="Heading1"/>
      </w:pPr>
      <w:r>
        <w:t xml:space="preserve">Quarterly Sales Performance Report: Professional Carpenter Services - Jakarta, Indonesia</w:t>
      </w:r>
    </w:p>
    <w:bookmarkStart w:id="20" w:name="executive-summary"/>
    <w:p>
      <w:pPr>
        <w:pStyle w:val="Heading2"/>
      </w:pPr>
      <w:r>
        <w:t xml:space="preserve">Executive Summary</w:t>
      </w:r>
    </w:p>
    <w:p>
      <w:pPr>
        <w:pStyle w:val="FirstParagraph"/>
      </w:pPr>
      <w:r>
        <w:t xml:space="preserve">This report details the performance of our professional carpentry services across Jakarta, Indonesia for the third quarter of 2024. The local market demonstrates strong demand for skilled woodworking solutions, driven by ongoing urban development, residential renovation projects, and cultural preservation initiatives. Our team has achieved a 25% year-over-year growth in service revenue, significantly outperforming the Jakarta construction sector average of 14%. This success underscores the critical role of specialized carpentry in meeting Jakarta's evolving architectural and functional needs.</w:t>
      </w:r>
    </w:p>
    <w:bookmarkEnd w:id="20"/>
    <w:bookmarkStart w:id="21" w:name="Xe36b72cbf6fa21945e5a588c40e61b0c3e3c8fe"/>
    <w:p>
      <w:pPr>
        <w:pStyle w:val="Heading2"/>
      </w:pPr>
      <w:r>
        <w:t xml:space="preserve">Market Context: Carpenter Services in Indonesia Jakarta</w:t>
      </w:r>
    </w:p>
    <w:p>
      <w:pPr>
        <w:pStyle w:val="FirstParagraph"/>
      </w:pPr>
      <w:r>
        <w:t xml:space="preserve">Indonesia's capital city, Jakarta, faces unique challenges requiring expert carpentry solutions. Rapid urbanization has created a surge in high-end residential construction (e.g., new condominiums in Kuningan, Senayan), while historic neighborhoods like Menteng and Kota Tua demand precision restoration work. The Indonesian government’s "Jakarta Smart City" initiative further fuels demand for modern wooden architectural elements integrated with smart building systems. Traditional Javanese woodworking aesthetics remain highly valued, creating a niche market where our carpenters combine heritage craftsmanship with contemporary techniques.</w:t>
      </w:r>
    </w:p>
    <w:bookmarkEnd w:id="21"/>
    <w:bookmarkStart w:id="25" w:name="sales-performance-breakdown-q3-2024"/>
    <w:p>
      <w:pPr>
        <w:pStyle w:val="Heading2"/>
      </w:pPr>
      <w:r>
        <w:t xml:space="preserve">Sales Performance Breakdown (Q3 2024)</w:t>
      </w:r>
    </w:p>
    <w:bookmarkStart w:id="22" w:name="X3965ab0fe1cb6190c59dbc98a454a5ebee80faf"/>
    <w:p>
      <w:pPr>
        <w:pStyle w:val="Heading3"/>
      </w:pPr>
      <w:r>
        <w:t xml:space="preserve">1. Residential Renovation Projects (45% of Revenue)</w:t>
      </w:r>
    </w:p>
    <w:p>
      <w:pPr>
        <w:pStyle w:val="FirstParagraph"/>
      </w:pPr>
      <w:r>
        <w:t xml:space="preserve">Primary demand came from middle-to-high-income households seeking custom cabinetry, flooring, and furniture installations. Key areas included:</w:t>
      </w:r>
    </w:p>
    <w:p>
      <w:pPr>
        <w:numPr>
          <w:ilvl w:val="0"/>
          <w:numId w:val="1001"/>
        </w:numPr>
        <w:pStyle w:val="Compact"/>
      </w:pPr>
      <w:r>
        <w:rPr>
          <w:bCs/>
          <w:b/>
        </w:rPr>
        <w:t xml:space="preserve">Kebayoran Baru &amp; Cipete:</w:t>
      </w:r>
      <w:r>
        <w:t xml:space="preserve"> </w:t>
      </w:r>
      <w:r>
        <w:t xml:space="preserve">32 new projects for luxury apartment conversions (up 40% vs Q2), featuring bespoke wooden wardrobes and living room installations.</w:t>
      </w:r>
    </w:p>
    <w:p>
      <w:pPr>
        <w:numPr>
          <w:ilvl w:val="0"/>
          <w:numId w:val="1001"/>
        </w:numPr>
        <w:pStyle w:val="Compact"/>
      </w:pPr>
      <w:r>
        <w:rPr>
          <w:bCs/>
          <w:b/>
        </w:rPr>
        <w:t xml:space="preserve">Tebet &amp; Pesanggrahan:</w:t>
      </w:r>
      <w:r>
        <w:t xml:space="preserve"> </w:t>
      </w:r>
      <w:r>
        <w:t xml:space="preserve">High demand for hardwood flooring solutions amid the city's shift toward sustainable building materials.</w:t>
      </w:r>
    </w:p>
    <w:p>
      <w:pPr>
        <w:pStyle w:val="FirstParagraph"/>
      </w:pPr>
      <w:r>
        <w:t xml:space="preserve">Client retention reached 78%—a testament to Jakarta carpenters' ability to deliver within tight project timelines despite the city's notorious traffic delays. Average project value increased by 18% due to premium wood sourcing from East Kalimantan suppliers.</w:t>
      </w:r>
    </w:p>
    <w:bookmarkEnd w:id="22"/>
    <w:bookmarkStart w:id="23" w:name="X5e42c6c0165873789eee395b6f82fd32e23444d"/>
    <w:p>
      <w:pPr>
        <w:pStyle w:val="Heading3"/>
      </w:pPr>
      <w:r>
        <w:t xml:space="preserve">2. Commercial Construction Support (35% of Revenue)</w:t>
      </w:r>
    </w:p>
    <w:p>
      <w:pPr>
        <w:pStyle w:val="FirstParagraph"/>
      </w:pPr>
      <w:r>
        <w:t xml:space="preserve">Our carpenters provided critical support for major Jakarta projects:</w:t>
      </w:r>
    </w:p>
    <w:p>
      <w:pPr>
        <w:numPr>
          <w:ilvl w:val="0"/>
          <w:numId w:val="1002"/>
        </w:numPr>
        <w:pStyle w:val="Compact"/>
      </w:pPr>
      <w:r>
        <w:rPr>
          <w:bCs/>
          <w:b/>
        </w:rPr>
        <w:t xml:space="preserve">Mall Renovations (Ratu Plaza, Pondok Indah):</w:t>
      </w:r>
      <w:r>
        <w:t xml:space="preserve"> </w:t>
      </w:r>
      <w:r>
        <w:t xml:space="preserve">12 renovation contracts for interior display fixtures and structural wood elements.</w:t>
      </w:r>
    </w:p>
    <w:p>
      <w:pPr>
        <w:numPr>
          <w:ilvl w:val="0"/>
          <w:numId w:val="1002"/>
        </w:numPr>
        <w:pStyle w:val="Compact"/>
      </w:pPr>
      <w:r>
        <w:rPr>
          <w:bCs/>
          <w:b/>
        </w:rPr>
        <w:t xml:space="preserve">New Office Spaces (Central Park, SCBD):</w:t>
      </w:r>
      <w:r>
        <w:t xml:space="preserve"> </w:t>
      </w:r>
      <w:r>
        <w:t xml:space="preserve">8 projects involving custom reception desks and partition systems. These required compliance with Jakarta's updated fire safety regulations for wooden materials.</w:t>
      </w:r>
    </w:p>
    <w:p>
      <w:pPr>
        <w:pStyle w:val="FirstParagraph"/>
      </w:pPr>
      <w:r>
        <w:t xml:space="preserve">Commercial contracts averaged 27% higher revenue per project than residential work, reflecting Jakarta's corporate sector investment in quality interiors.</w:t>
      </w:r>
    </w:p>
    <w:bookmarkEnd w:id="23"/>
    <w:bookmarkStart w:id="24" w:name="X32c3e1935895969a62e7a2b636071f570b1ab0e"/>
    <w:p>
      <w:pPr>
        <w:pStyle w:val="Heading3"/>
      </w:pPr>
      <w:r>
        <w:t xml:space="preserve">3. Cultural Preservation &amp; Heritage Projects (20% of Revenue)</w:t>
      </w:r>
    </w:p>
    <w:p>
      <w:pPr>
        <w:pStyle w:val="FirstParagraph"/>
      </w:pPr>
      <w:r>
        <w:t xml:space="preserve">This specialized segment represents Jakarta's unique carpentry opportunity:</w:t>
      </w:r>
    </w:p>
    <w:p>
      <w:pPr>
        <w:numPr>
          <w:ilvl w:val="0"/>
          <w:numId w:val="1003"/>
        </w:numPr>
        <w:pStyle w:val="Compact"/>
      </w:pPr>
      <w:r>
        <w:rPr>
          <w:bCs/>
          <w:b/>
        </w:rPr>
        <w:t xml:space="preserve">Kota Tua Restoration:</w:t>
      </w:r>
      <w:r>
        <w:t xml:space="preserve"> </w:t>
      </w:r>
      <w:r>
        <w:t xml:space="preserve">5 contracts for repairing traditional Betawi wooden houses, using techniques passed down through generations.</w:t>
      </w:r>
    </w:p>
    <w:p>
      <w:pPr>
        <w:numPr>
          <w:ilvl w:val="0"/>
          <w:numId w:val="1003"/>
        </w:numPr>
        <w:pStyle w:val="Compact"/>
      </w:pPr>
      <w:r>
        <w:rPr>
          <w:bCs/>
          <w:b/>
        </w:rPr>
        <w:t xml:space="preserve">Museums &amp; Cultural Centers (e.g., Museum Bank Indonesia):</w:t>
      </w:r>
      <w:r>
        <w:t xml:space="preserve"> </w:t>
      </w:r>
      <w:r>
        <w:t xml:space="preserve">Custom display cases and exhibition panels requiring precision joinery.</w:t>
      </w:r>
    </w:p>
    <w:p>
      <w:pPr>
        <w:pStyle w:val="FirstParagraph"/>
      </w:pPr>
      <w:r>
        <w:t xml:space="preserve">The Jakarta Heritage Agency now includes our carpentry firm as a certified partner, highlighting the sector's growing recognition. This segment grew 30% YoY due to increased government funding for cultural conservation.</w:t>
      </w:r>
    </w:p>
    <w:bookmarkEnd w:id="24"/>
    <w:bookmarkEnd w:id="25"/>
    <w:bookmarkStart w:id="26" w:name="key-challenges-local-adaptation"/>
    <w:p>
      <w:pPr>
        <w:pStyle w:val="Heading2"/>
      </w:pPr>
      <w:r>
        <w:t xml:space="preserve">Key Challenges &amp; Local Adaptation</w:t>
      </w:r>
    </w:p>
    <w:p>
      <w:pPr>
        <w:pStyle w:val="FirstParagraph"/>
      </w:pPr>
      <w:r>
        <w:t xml:space="preserve">Operating in Indonesia Jakarta presents distinct hurdles our team has successfully navigated:</w:t>
      </w:r>
    </w:p>
    <w:p>
      <w:pPr>
        <w:numPr>
          <w:ilvl w:val="0"/>
          <w:numId w:val="1004"/>
        </w:numPr>
        <w:pStyle w:val="Compact"/>
      </w:pPr>
      <w:r>
        <w:rPr>
          <w:bCs/>
          <w:b/>
        </w:rPr>
        <w:t xml:space="preserve">Monsoon Season Logistics:</w:t>
      </w:r>
      <w:r>
        <w:t xml:space="preserve"> </w:t>
      </w:r>
      <w:r>
        <w:t xml:space="preserve">Reduced outdoor work by 15% during October rains. Solution: Shifted focus to indoor projects and pre-fabrication, maintaining 92% monthly target attainment.</w:t>
      </w:r>
    </w:p>
    <w:p>
      <w:pPr>
        <w:numPr>
          <w:ilvl w:val="0"/>
          <w:numId w:val="1004"/>
        </w:numPr>
        <w:pStyle w:val="Compact"/>
      </w:pPr>
      <w:r>
        <w:rPr>
          <w:bCs/>
          <w:b/>
        </w:rPr>
        <w:t xml:space="preserve">Material Sourcing:</w:t>
      </w:r>
      <w:r>
        <w:t xml:space="preserve"> </w:t>
      </w:r>
      <w:r>
        <w:t xml:space="preserve">Limited local sustainable timber options. Solution: Partnered with certified Indonesian forestry cooperatives (e.g., PT Jati Lestari) to ensure ethical sourcing—critical for Jakarta's new environmental regulations.</w:t>
      </w:r>
    </w:p>
    <w:p>
      <w:pPr>
        <w:numPr>
          <w:ilvl w:val="0"/>
          <w:numId w:val="1004"/>
        </w:numPr>
        <w:pStyle w:val="Compact"/>
      </w:pPr>
      <w:r>
        <w:rPr>
          <w:bCs/>
          <w:b/>
        </w:rPr>
        <w:t xml:space="preserve">City Regulations:</w:t>
      </w:r>
      <w:r>
        <w:t xml:space="preserve"> </w:t>
      </w:r>
      <w:r>
        <w:t xml:space="preserve">Navigating Jakarta's complex building permits. Solution: Dedicated municipal liaison officer now handles 85% of permit applications, reducing project delays by 30%.</w:t>
      </w:r>
    </w:p>
    <w:bookmarkEnd w:id="26"/>
    <w:bookmarkStart w:id="27" w:name="customer-satisfaction-market-position"/>
    <w:p>
      <w:pPr>
        <w:pStyle w:val="Heading2"/>
      </w:pPr>
      <w:r>
        <w:t xml:space="preserve">Customer Satisfaction &amp; Market Position</w:t>
      </w:r>
    </w:p>
    <w:p>
      <w:pPr>
        <w:pStyle w:val="FirstParagraph"/>
      </w:pPr>
      <w:r>
        <w:t xml:space="preserve">Our Jakarta carpentry service achieved a Net Promoter Score (NPS) of +68—significantly higher than the industry benchmark of +45. Key drivers included:</w:t>
      </w:r>
    </w:p>
    <w:p>
      <w:pPr>
        <w:numPr>
          <w:ilvl w:val="0"/>
          <w:numId w:val="1005"/>
        </w:numPr>
        <w:pStyle w:val="Compact"/>
      </w:pPr>
      <w:r>
        <w:rPr>
          <w:bCs/>
          <w:b/>
        </w:rPr>
        <w:t xml:space="preserve">Cultural Sensitivity:</w:t>
      </w:r>
      <w:r>
        <w:t xml:space="preserve"> </w:t>
      </w:r>
      <w:r>
        <w:t xml:space="preserve">Understanding Betawi aesthetics in furniture design (e.g., carved motifs in Kebayoran Baru homes).</w:t>
      </w:r>
    </w:p>
    <w:p>
      <w:pPr>
        <w:numPr>
          <w:ilvl w:val="0"/>
          <w:numId w:val="1005"/>
        </w:numPr>
        <w:pStyle w:val="Compact"/>
      </w:pPr>
      <w:r>
        <w:rPr>
          <w:bCs/>
          <w:b/>
        </w:rPr>
        <w:t xml:space="preserve">Traffic-Resilient Scheduling:</w:t>
      </w:r>
      <w:r>
        <w:t xml:space="preserve"> </w:t>
      </w:r>
      <w:r>
        <w:t xml:space="preserve">Offering weekend/early-morning services to bypass Jakarta's peak congestion.</w:t>
      </w:r>
    </w:p>
    <w:p>
      <w:pPr>
        <w:numPr>
          <w:ilvl w:val="0"/>
          <w:numId w:val="1005"/>
        </w:numPr>
        <w:pStyle w:val="Compact"/>
      </w:pPr>
      <w:r>
        <w:rPr>
          <w:bCs/>
          <w:b/>
        </w:rPr>
        <w:t xml:space="preserve">Localized Pricing:</w:t>
      </w:r>
      <w:r>
        <w:t xml:space="preserve"> </w:t>
      </w:r>
      <w:r>
        <w:t xml:space="preserve">Tiered pricing for different neighborhoods (e.g., lower rates in Cipinang vs. premium rates in Menteng) based on market demand.</w:t>
      </w:r>
    </w:p>
    <w:bookmarkEnd w:id="27"/>
    <w:bookmarkStart w:id="28" w:name="future-outlook-strategic-focus"/>
    <w:p>
      <w:pPr>
        <w:pStyle w:val="Heading2"/>
      </w:pPr>
      <w:r>
        <w:t xml:space="preserve">Future Outlook &amp; Strategic Focus</w:t>
      </w:r>
    </w:p>
    <w:p>
      <w:pPr>
        <w:pStyle w:val="FirstParagraph"/>
      </w:pPr>
      <w:r>
        <w:t xml:space="preserve">Building on Q3 success, our Jakarta carpentry operations will prioritize:</w:t>
      </w:r>
    </w:p>
    <w:p>
      <w:pPr>
        <w:numPr>
          <w:ilvl w:val="0"/>
          <w:numId w:val="1006"/>
        </w:numPr>
        <w:pStyle w:val="Compact"/>
      </w:pPr>
      <w:r>
        <w:rPr>
          <w:bCs/>
          <w:b/>
        </w:rPr>
        <w:t xml:space="preserve">Leveraging Jakarta Smart City Programs:</w:t>
      </w:r>
      <w:r>
        <w:t xml:space="preserve"> </w:t>
      </w:r>
      <w:r>
        <w:t xml:space="preserve">Targeting public infrastructure projects like new community centers requiring sustainable wooden features.</w:t>
      </w:r>
    </w:p>
    <w:p>
      <w:pPr>
        <w:numPr>
          <w:ilvl w:val="0"/>
          <w:numId w:val="1006"/>
        </w:numPr>
        <w:pStyle w:val="Compact"/>
      </w:pPr>
      <w:r>
        <w:rPr>
          <w:bCs/>
          <w:b/>
        </w:rPr>
        <w:t xml:space="preserve">Digital Integration:</w:t>
      </w:r>
      <w:r>
        <w:t xml:space="preserve"> </w:t>
      </w:r>
      <w:r>
        <w:t xml:space="preserve">Launching an app for real-time project updates—addressing Jakarta clients' demand for transparency amid traffic disruptions.</w:t>
      </w:r>
    </w:p>
    <w:p>
      <w:pPr>
        <w:numPr>
          <w:ilvl w:val="0"/>
          <w:numId w:val="1006"/>
        </w:numPr>
        <w:pStyle w:val="Compact"/>
      </w:pPr>
      <w:r>
        <w:rPr>
          <w:bCs/>
          <w:b/>
        </w:rPr>
        <w:t xml:space="preserve">Skill Development:</w:t>
      </w:r>
      <w:r>
        <w:t xml:space="preserve"> </w:t>
      </w:r>
      <w:r>
        <w:t xml:space="preserve">Partnering with Jakarta vocational schools (e.g., SMK Karya Bakti) to train 50 new carpenters, addressing the city's skilled labor shortage.</w:t>
      </w:r>
    </w:p>
    <w:p>
      <w:pPr>
        <w:pStyle w:val="FirstParagraph"/>
      </w:pPr>
      <w:r>
        <w:t xml:space="preserve">The Indonesian construction sector is projected to grow at 6.2% annually through 2027, with woodworking services expected to contribute significantly. Our focus on Jakarta-specific market dynamics—cultural preservation needs, urban density challenges, and regulatory environment—positions us as the leading carpentry provider in Indonesia's capital.</w:t>
      </w:r>
    </w:p>
    <w:bookmarkEnd w:id="28"/>
    <w:bookmarkStart w:id="29" w:name="conclusion"/>
    <w:p>
      <w:pPr>
        <w:pStyle w:val="Heading2"/>
      </w:pPr>
      <w:r>
        <w:t xml:space="preserve">Conclusion</w:t>
      </w:r>
    </w:p>
    <w:p>
      <w:pPr>
        <w:pStyle w:val="FirstParagraph"/>
      </w:pPr>
      <w:r>
        <w:t xml:space="preserve">This quarter reaffirms that specialized carpentry services are not just a business but a vital component of Jakarta's architectural identity. By embedding cultural knowledge with technical expertise and adapting to Jakarta's operational realities, our team has delivered exceptional results. The 25% revenue growth in Q3 demonstrates clear market validation for carpentry as an essential service in Indonesia’s most dynamic city. We will continue to invest in local partnerships, sustainable practices, and community engagement to maintain leadership in Jakarta's evolving building landscape.</w:t>
      </w:r>
    </w:p>
    <w:p>
      <w:pPr>
        <w:pStyle w:val="BodyText"/>
      </w:pPr>
      <w:r>
        <w:rPr>
          <w:iCs/>
          <w:i/>
        </w:rPr>
        <w:t xml:space="preserve">Prepared by: Jakarta Carpentry Solutions Management Team</w:t>
      </w:r>
      <w:r>
        <w:br/>
      </w:r>
      <w:r>
        <w:rPr>
          <w:iCs/>
          <w:i/>
        </w:rPr>
        <w:t xml:space="preserve">Date: October 26, 2024</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Indonesia Jakarta Carpenter Sales Report Q3 2024</dc:title>
  <dc:creator/>
  <dc:language>en</dc:language>
  <cp:keywords/>
  <dcterms:created xsi:type="dcterms:W3CDTF">2026-07-23T10:45:22Z</dcterms:created>
  <dcterms:modified xsi:type="dcterms:W3CDTF">2026-07-23T10:45:22Z</dcterms:modified>
</cp:coreProperties>
</file>

<file path=docProps/custom.xml><?xml version="1.0" encoding="utf-8"?>
<Properties xmlns="http://schemas.openxmlformats.org/officeDocument/2006/custom-properties" xmlns:vt="http://schemas.openxmlformats.org/officeDocument/2006/docPropsVTypes"/>
</file>