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85414fbcab6c1b20d83fb053b953d87eaa8ab7d"/>
    <w:p>
      <w:pPr>
        <w:pStyle w:val="Heading1"/>
      </w:pPr>
      <w:r>
        <w:t xml:space="preserve">Sales Performance Report for Local Carpenter Services in Myanmar Yangon</w:t>
      </w:r>
    </w:p>
    <w:p>
      <w:pPr>
        <w:pStyle w:val="FirstParagraph"/>
      </w:pPr>
      <w:r>
        <w:t xml:space="preserve">Prepared for Management, Q3 2023 (July - September)</w:t>
      </w:r>
    </w:p>
    <w:bookmarkStart w:id="20" w:name="executive-summary"/>
    <w:p>
      <w:pPr>
        <w:pStyle w:val="Heading2"/>
      </w:pPr>
      <w:r>
        <w:t xml:space="preserve">Executive Summary</w:t>
      </w:r>
    </w:p>
    <w:p>
      <w:pPr>
        <w:pStyle w:val="FirstParagraph"/>
      </w:pPr>
      <w:r>
        <w:t xml:space="preserve">This comprehensive Sales Report details the performance of carpentry services across Myanmar Yangon during the third quarter of 2023. The report analyzes sales trends, market dynamics, and customer preferences specific to Yangon's rapidly evolving construction and interior design sectors. As a leading provider of traditional and contemporary woodworking solutions in Yangon, our Carpenter team has demonstrated exceptional growth through strategic adaptation to local demands. This document serves as both an operational review and a roadmap for sustainable expansion within Myanmar's most populous city.</w:t>
      </w:r>
    </w:p>
    <w:bookmarkEnd w:id="20"/>
    <w:bookmarkStart w:id="21" w:name="market-context-in-myanmar-yangon"/>
    <w:p>
      <w:pPr>
        <w:pStyle w:val="Heading2"/>
      </w:pPr>
      <w:r>
        <w:t xml:space="preserve">Market Context in Myanmar Yangon</w:t>
      </w:r>
    </w:p>
    <w:p>
      <w:pPr>
        <w:pStyle w:val="FirstParagraph"/>
      </w:pPr>
      <w:r>
        <w:t xml:space="preserve">Yangon's construction sector is experiencing unprecedented growth, driven by urbanization, tourism development, and government infrastructure projects. The city's unique blend of colonial architecture restoration needs alongside modern high-rise developments creates a diverse market for specialized carpentry services. Our analysis confirms that 78% of Yangon's housing projects now require custom carpentry elements – a 32% increase from Q1 2023. This surge directly benefits our Carpenter operations, particularly in residential renovations and boutique hospitality projects across neighborhoods like Bahan, Hlaing Tharyar, and Dagon Seikkan.</w:t>
      </w:r>
    </w:p>
    <w:bookmarkEnd w:id="21"/>
    <w:bookmarkStart w:id="22" w:name="quarterly-sales-performance"/>
    <w:p>
      <w:pPr>
        <w:pStyle w:val="Heading2"/>
      </w:pPr>
      <w:r>
        <w:t xml:space="preserve">Quarterly Sales Performance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Q2 Sales (MMK)</w:t>
            </w:r>
          </w:p>
        </w:tc>
        <w:tc>
          <w:tcPr/>
          <w:p>
            <w:pPr>
              <w:pStyle w:val="Compact"/>
              <w:jc w:val="left"/>
            </w:pPr>
            <w:r>
              <w:t xml:space="preserve">Q3 Sales (MMK)</w:t>
            </w:r>
          </w:p>
        </w:tc>
        <w:tc>
          <w:tcPr/>
          <w:p>
            <w:pPr>
              <w:pStyle w:val="Compact"/>
              <w:jc w:val="left"/>
            </w:pPr>
            <w:r>
              <w:t xml:space="preserve">% Change</w:t>
            </w:r>
          </w:p>
        </w:tc>
        <w:tc>
          <w:tcPr/>
          <w:p>
            <w:pPr>
              <w:pStyle w:val="Compact"/>
              <w:jc w:val="left"/>
            </w:pPr>
            <w:r>
              <w:t xml:space="preserve">Key Projects in Yangon</w:t>
            </w:r>
          </w:p>
        </w:tc>
      </w:tr>
      <w:tr>
        <w:tc>
          <w:tcPr/>
          <w:p>
            <w:pPr>
              <w:pStyle w:val="Compact"/>
              <w:jc w:val="left"/>
            </w:pPr>
            <w:r>
              <w:t xml:space="preserve">Residential Furniture (Custom)</w:t>
            </w:r>
          </w:p>
        </w:tc>
        <w:tc>
          <w:tcPr/>
          <w:p>
            <w:pPr>
              <w:pStyle w:val="Compact"/>
              <w:jc w:val="left"/>
            </w:pPr>
            <w:r>
              <w:t xml:space="preserve">12,500,000</w:t>
            </w:r>
          </w:p>
        </w:tc>
        <w:tc>
          <w:tcPr/>
          <w:p>
            <w:pPr>
              <w:pStyle w:val="Compact"/>
              <w:jc w:val="left"/>
            </w:pPr>
            <w:r>
              <w:t xml:space="preserve">18,750,000</w:t>
            </w:r>
          </w:p>
        </w:tc>
        <w:tc>
          <w:tcPr/>
          <w:p>
            <w:pPr>
              <w:pStyle w:val="Compact"/>
              <w:jc w:val="left"/>
            </w:pPr>
            <w:r>
              <w:t xml:space="preserve">+50%</w:t>
            </w:r>
          </w:p>
        </w:tc>
        <w:tc>
          <w:tcPr/>
          <w:p>
            <w:pPr>
              <w:pStyle w:val="Compact"/>
              <w:jc w:val="left"/>
            </w:pPr>
            <w:r>
              <w:t xml:space="preserve">Twin Towers Residence (Bahan), Myay Kaung Villa Renovation (Mayangon)</w:t>
            </w:r>
          </w:p>
        </w:tc>
      </w:tr>
      <w:tr>
        <w:tc>
          <w:tcPr/>
          <w:p>
            <w:pPr>
              <w:pStyle w:val="Compact"/>
              <w:jc w:val="left"/>
            </w:pPr>
            <w:r>
              <w:t xml:space="preserve">Interior Fit-outs</w:t>
            </w:r>
          </w:p>
        </w:tc>
        <w:tc>
          <w:tcPr/>
          <w:p>
            <w:pPr>
              <w:pStyle w:val="Compact"/>
              <w:jc w:val="left"/>
            </w:pPr>
            <w:r>
              <w:t xml:space="preserve">9,800,000</w:t>
            </w:r>
          </w:p>
        </w:tc>
        <w:tc>
          <w:tcPr/>
          <w:p>
            <w:pPr>
              <w:pStyle w:val="Compact"/>
              <w:jc w:val="left"/>
            </w:pPr>
            <w:r>
              <w:t xml:space="preserve">14,250,000</w:t>
            </w:r>
          </w:p>
        </w:tc>
        <w:tc>
          <w:tcPr/>
          <w:p>
            <w:pPr>
              <w:pStyle w:val="Compact"/>
              <w:jc w:val="left"/>
            </w:pPr>
            <w:r>
              <w:t xml:space="preserve">+45%</w:t>
            </w:r>
          </w:p>
        </w:tc>
        <w:tc>
          <w:tcPr/>
          <w:p>
            <w:pPr>
              <w:pStyle w:val="Compact"/>
              <w:jc w:val="left"/>
            </w:pPr>
            <w:r>
              <w:t xml:space="preserve">The Yangon Heritage Hotel (Downtown), Kandawgyi Lake Resort Expansion</w:t>
            </w:r>
          </w:p>
        </w:tc>
      </w:tr>
      <w:tr>
        <w:tc>
          <w:tcPr/>
          <w:p>
            <w:pPr>
              <w:pStyle w:val="Compact"/>
              <w:jc w:val="left"/>
            </w:pPr>
            <w:r>
              <w:t xml:space="preserve">Restoration &amp; Colonial Repairs</w:t>
            </w:r>
          </w:p>
        </w:tc>
        <w:tc>
          <w:tcPr/>
          <w:p>
            <w:pPr>
              <w:pStyle w:val="Compact"/>
              <w:jc w:val="left"/>
            </w:pPr>
            <w:r>
              <w:t xml:space="preserve">6,200,000</w:t>
            </w:r>
          </w:p>
        </w:tc>
        <w:tc>
          <w:tcPr/>
          <w:p>
            <w:pPr>
              <w:pStyle w:val="Compact"/>
              <w:jc w:val="left"/>
            </w:pPr>
            <w:r>
              <w:t xml:space="preserve">7,950,000</w:t>
            </w:r>
          </w:p>
        </w:tc>
        <w:tc>
          <w:tcPr/>
          <w:p>
            <w:pPr>
              <w:pStyle w:val="Compact"/>
              <w:jc w:val="left"/>
            </w:pPr>
            <w:r>
              <w:t xml:space="preserve">+28%</w:t>
            </w:r>
          </w:p>
        </w:tc>
        <w:tc>
          <w:tcPr/>
          <w:p>
            <w:pPr>
              <w:pStyle w:val="Compact"/>
              <w:jc w:val="left"/>
            </w:pPr>
            <w:r>
              <w:t xml:space="preserve">Mahabandoola Building Facade (Downtown), Rangoon Club Interior Revamp</w:t>
            </w:r>
          </w:p>
        </w:tc>
      </w:tr>
      <w:tr>
        <w:tc>
          <w:tcPr/>
          <w:p>
            <w:pPr>
              <w:pStyle w:val="Compact"/>
              <w:jc w:val="left"/>
            </w:pPr>
            <w:r>
              <w:rPr>
                <w:bCs/>
                <w:b/>
              </w:rPr>
              <w:t xml:space="preserve">Total Sales</w:t>
            </w:r>
          </w:p>
        </w:tc>
        <w:tc>
          <w:tcPr/>
          <w:p>
            <w:pPr>
              <w:pStyle w:val="Compact"/>
              <w:jc w:val="left"/>
            </w:pPr>
            <w:r>
              <w:rPr>
                <w:bCs/>
                <w:b/>
              </w:rPr>
              <w:t xml:space="preserve">28,500,000</w:t>
            </w:r>
          </w:p>
        </w:tc>
        <w:tc>
          <w:tcPr/>
          <w:p>
            <w:pPr>
              <w:pStyle w:val="Compact"/>
              <w:jc w:val="left"/>
            </w:pPr>
            <w:r>
              <w:rPr>
                <w:bCs/>
                <w:b/>
              </w:rPr>
              <w:t xml:space="preserve">40,950,000</w:t>
            </w:r>
          </w:p>
        </w:tc>
        <w:tc>
          <w:tcPr/>
          <w:p>
            <w:pPr>
              <w:pStyle w:val="Compact"/>
              <w:jc w:val="left"/>
            </w:pPr>
            <w:r>
              <w:rPr>
                <w:bCs/>
                <w:b/>
              </w:rPr>
              <w:t xml:space="preserve">+43.7%</w:t>
            </w:r>
          </w:p>
        </w:tc>
        <w:tc>
          <w:tcPr/>
          <w:p>
            <w:pPr>
              <w:pStyle w:val="Compact"/>
              <w:jc w:val="left"/>
            </w:pPr>
            <w:r>
              <w:t xml:space="preserve"> </w:t>
            </w:r>
          </w:p>
        </w:tc>
      </w:tr>
    </w:tbl>
    <w:p>
      <w:pPr>
        <w:pStyle w:val="BodyText"/>
      </w:pPr>
      <w:r>
        <w:t xml:space="preserve">Notable achievements include securing three major contracts with Yangon's top real estate developers: Myanmar Union Development (MUD), Htoo Group, and Shwe Thanlwin. The 43.7% year-over-year sales growth in Myanmar Yangon significantly outperforms the national construction sector average of 28%, demonstrating our Carpenter team's market leadership.</w:t>
      </w:r>
    </w:p>
    <w:bookmarkEnd w:id="22"/>
    <w:bookmarkStart w:id="23" w:name="X8bef892974355892643914366acf6f290b36c0c"/>
    <w:p>
      <w:pPr>
        <w:pStyle w:val="Heading2"/>
      </w:pPr>
      <w:r>
        <w:t xml:space="preserve">Customer Insights Driving Success in Yangon</w:t>
      </w:r>
    </w:p>
    <w:p>
      <w:pPr>
        <w:pStyle w:val="FirstParagraph"/>
      </w:pPr>
      <w:r>
        <w:t xml:space="preserve">Our sales data reveals critical regional preferences specific to Yangon's market:</w:t>
      </w:r>
    </w:p>
    <w:p>
      <w:pPr>
        <w:numPr>
          <w:ilvl w:val="0"/>
          <w:numId w:val="1001"/>
        </w:numPr>
        <w:pStyle w:val="Compact"/>
      </w:pPr>
      <w:r>
        <w:rPr>
          <w:bCs/>
          <w:b/>
        </w:rPr>
        <w:t xml:space="preserve">Material Preferences:</w:t>
      </w:r>
      <w:r>
        <w:t xml:space="preserve"> </w:t>
      </w:r>
      <w:r>
        <w:t xml:space="preserve">68% of Yangon customers prioritize locally sourced teak wood for authenticity and durability, particularly in heritage projects. Our partnership with Ayeyarwady Region suppliers reduced material costs by 12%.</w:t>
      </w:r>
    </w:p>
    <w:p>
      <w:pPr>
        <w:numPr>
          <w:ilvl w:val="0"/>
          <w:numId w:val="1001"/>
        </w:numPr>
        <w:pStyle w:val="Compact"/>
      </w:pPr>
      <w:r>
        <w:rPr>
          <w:bCs/>
          <w:b/>
        </w:rPr>
        <w:t xml:space="preserve">Design Trends:</w:t>
      </w:r>
      <w:r>
        <w:t xml:space="preserve"> </w:t>
      </w:r>
      <w:r>
        <w:t xml:space="preserve">Contemporary minimalist furniture (72%) is surging in demand among Yangon's young professionals, while traditional Burmese patterns remain strong in upper-end residential projects (45% of luxury contracts).</w:t>
      </w:r>
    </w:p>
    <w:p>
      <w:pPr>
        <w:numPr>
          <w:ilvl w:val="0"/>
          <w:numId w:val="1001"/>
        </w:numPr>
        <w:pStyle w:val="Compact"/>
      </w:pPr>
      <w:r>
        <w:rPr>
          <w:bCs/>
          <w:b/>
        </w:rPr>
        <w:t xml:space="preserve">Pricing Sensitivity:</w:t>
      </w:r>
      <w:r>
        <w:t xml:space="preserve"> </w:t>
      </w:r>
      <w:r>
        <w:t xml:space="preserve">89% of Yangon clients value quality over lowest price, allowing us to maintain 15-20% premium pricing for custom Carpenter work compared to competitors.</w:t>
      </w:r>
    </w:p>
    <w:p>
      <w:pPr>
        <w:numPr>
          <w:ilvl w:val="0"/>
          <w:numId w:val="1001"/>
        </w:numPr>
        <w:pStyle w:val="Compact"/>
      </w:pPr>
      <w:r>
        <w:rPr>
          <w:bCs/>
          <w:b/>
        </w:rPr>
        <w:t xml:space="preserve">Logistics Advantage:</w:t>
      </w:r>
      <w:r>
        <w:t xml:space="preserve"> </w:t>
      </w:r>
      <w:r>
        <w:t xml:space="preserve">Our Yangon-based workshop (Dagon Seikkan) enables same-day delivery for urgent projects – a key differentiator in Yangon's traffic-congested urban environment.</w:t>
      </w:r>
    </w:p>
    <w:bookmarkEnd w:id="23"/>
    <w:bookmarkStart w:id="24" w:name="challenges-strategic-responses"/>
    <w:p>
      <w:pPr>
        <w:pStyle w:val="Heading2"/>
      </w:pPr>
      <w:r>
        <w:t xml:space="preserve">Challenges &amp; Strategic Responses</w:t>
      </w:r>
    </w:p>
    <w:p>
      <w:pPr>
        <w:pStyle w:val="FirstParagraph"/>
      </w:pPr>
      <w:r>
        <w:t xml:space="preserve">While sales are thriving, Yangon-specific challenges require ongoing attention:</w:t>
      </w:r>
    </w:p>
    <w:p>
      <w:pPr>
        <w:numPr>
          <w:ilvl w:val="0"/>
          <w:numId w:val="1002"/>
        </w:numPr>
        <w:pStyle w:val="Compact"/>
      </w:pPr>
      <w:r>
        <w:rPr>
          <w:bCs/>
          <w:b/>
        </w:rPr>
        <w:t xml:space="preserve">Material Supply Chain:</w:t>
      </w:r>
      <w:r>
        <w:t xml:space="preserve"> </w:t>
      </w:r>
      <w:r>
        <w:t xml:space="preserve">Teak import restrictions affected Q3 operations. Our Carpenter team developed a local partnership with Shan State suppliers to maintain 98% project continuity.</w:t>
      </w:r>
    </w:p>
    <w:p>
      <w:pPr>
        <w:numPr>
          <w:ilvl w:val="0"/>
          <w:numId w:val="1002"/>
        </w:numPr>
        <w:pStyle w:val="Compact"/>
      </w:pPr>
      <w:r>
        <w:rPr>
          <w:bCs/>
          <w:b/>
        </w:rPr>
        <w:t xml:space="preserve">Competitive Pressure:</w:t>
      </w:r>
      <w:r>
        <w:t xml:space="preserve"> </w:t>
      </w:r>
      <w:r>
        <w:t xml:space="preserve">New carpentry startups in Yangon's industrial zones (e.g., Hlaing Tharyar) offered 10-15% lower prices. We countered by emphasizing our 25+ year Yangon heritage and quality guarantees.</w:t>
      </w:r>
    </w:p>
    <w:p>
      <w:pPr>
        <w:numPr>
          <w:ilvl w:val="0"/>
          <w:numId w:val="1002"/>
        </w:numPr>
        <w:pStyle w:val="Compact"/>
      </w:pPr>
      <w:r>
        <w:rPr>
          <w:bCs/>
          <w:b/>
        </w:rPr>
        <w:t xml:space="preserve">Seasonal Demand:</w:t>
      </w:r>
      <w:r>
        <w:t xml:space="preserve"> </w:t>
      </w:r>
      <w:r>
        <w:t xml:space="preserve">Monsoon season reduced outdoor work days by 30%. We pivoted to indoor furniture projects, which accounted for 67% of Q3 sales growth.</w:t>
      </w:r>
    </w:p>
    <w:bookmarkEnd w:id="24"/>
    <w:bookmarkStart w:id="25" w:name="future-outlook-recommendations"/>
    <w:p>
      <w:pPr>
        <w:pStyle w:val="Heading2"/>
      </w:pPr>
      <w:r>
        <w:t xml:space="preserve">Future Outlook &amp; Recommendations</w:t>
      </w:r>
    </w:p>
    <w:p>
      <w:pPr>
        <w:pStyle w:val="FirstParagraph"/>
      </w:pPr>
      <w:r>
        <w:t xml:space="preserve">Based on Yangon's market trajectory, we project sustained growth for our Carpenter services. Key recommendations include:</w:t>
      </w:r>
    </w:p>
    <w:p>
      <w:pPr>
        <w:numPr>
          <w:ilvl w:val="0"/>
          <w:numId w:val="1003"/>
        </w:numPr>
        <w:pStyle w:val="Compact"/>
      </w:pPr>
      <w:r>
        <w:rPr>
          <w:bCs/>
          <w:b/>
        </w:rPr>
        <w:t xml:space="preserve">Expand Heritage Division:</w:t>
      </w:r>
      <w:r>
        <w:t xml:space="preserve"> </w:t>
      </w:r>
      <w:r>
        <w:t xml:space="preserve">Capitalize on Yangon's UNESCO conservation initiatives by developing a specialized "Colonial Restoration Unit" – targeting 3 new government-approved projects in Q1 2024.</w:t>
      </w:r>
    </w:p>
    <w:p>
      <w:pPr>
        <w:numPr>
          <w:ilvl w:val="0"/>
          <w:numId w:val="1003"/>
        </w:numPr>
        <w:pStyle w:val="Compact"/>
      </w:pPr>
      <w:r>
        <w:rPr>
          <w:bCs/>
          <w:b/>
        </w:rPr>
        <w:t xml:space="preserve">Yangon-Specific Training:</w:t>
      </w:r>
      <w:r>
        <w:t xml:space="preserve"> </w:t>
      </w:r>
      <w:r>
        <w:t xml:space="preserve">Implement carpentry workshops focused on Myanmar-specific techniques at our Dagon Seikkan facility to build local talent and reduce urban labor costs by 18%.</w:t>
      </w:r>
    </w:p>
    <w:p>
      <w:pPr>
        <w:numPr>
          <w:ilvl w:val="0"/>
          <w:numId w:val="1003"/>
        </w:numPr>
        <w:pStyle w:val="Compact"/>
      </w:pPr>
      <w:r>
        <w:rPr>
          <w:bCs/>
          <w:b/>
        </w:rPr>
        <w:t xml:space="preserve">Digital Integration:</w:t>
      </w:r>
      <w:r>
        <w:t xml:space="preserve"> </w:t>
      </w:r>
      <w:r>
        <w:t xml:space="preserve">Launch a Yangon-focused AR app allowing customers to visualize custom furniture in their homes – directly addressing the high demand for design confidence in Yangon's competitive property market.</w:t>
      </w:r>
    </w:p>
    <w:p>
      <w:pPr>
        <w:numPr>
          <w:ilvl w:val="0"/>
          <w:numId w:val="1003"/>
        </w:numPr>
        <w:pStyle w:val="Compact"/>
      </w:pPr>
      <w:r>
        <w:rPr>
          <w:bCs/>
          <w:b/>
        </w:rPr>
        <w:t xml:space="preserve">Strategic Partnerships:</w:t>
      </w:r>
      <w:r>
        <w:t xml:space="preserve"> </w:t>
      </w:r>
      <w:r>
        <w:t xml:space="preserve">Formalize alliances with top 5 Yangon real estate developers (e.g., UBC, MLC) for exclusive contractor status on new residential projects.</w:t>
      </w:r>
    </w:p>
    <w:bookmarkEnd w:id="25"/>
    <w:bookmarkStart w:id="26" w:name="conclusion"/>
    <w:p>
      <w:pPr>
        <w:pStyle w:val="Heading2"/>
      </w:pPr>
      <w:r>
        <w:t xml:space="preserve">Conclusion</w:t>
      </w:r>
    </w:p>
    <w:p>
      <w:pPr>
        <w:pStyle w:val="FirstParagraph"/>
      </w:pPr>
      <w:r>
        <w:t xml:space="preserve">This Sales Report unequivocally demonstrates the exceptional performance of our Carpenter operations within Myanmar Yangon. The city's dynamic construction landscape – characterized by its unique blend of heritage preservation and modern development – provides an ideal environment for specialized woodworking services. Our 43.7% sales growth in Q3 reflects not only market demand but also the strategic alignment of our Carpenter team with Yangon's evolving needs.</w:t>
      </w:r>
    </w:p>
    <w:p>
      <w:pPr>
        <w:pStyle w:val="BodyText"/>
      </w:pPr>
      <w:r>
        <w:t xml:space="preserve">Crucially, this success is rooted in deep local knowledge: understanding Yangon's traffic patterns for logistics, respecting traditional Burmese aesthetics, and adapting to seasonal challenges unique to Myanmar. As we move into 2024, our Carpenter division will continue to be the cornerstone of our business in Yangon – where craftsmanship meets cultural context. We recommend maintaining this localized approach as the foundation for all future growth strategies within Myanmar Yangon.</w:t>
      </w:r>
    </w:p>
    <w:p>
      <w:pPr>
        <w:pStyle w:val="BodyText"/>
      </w:pPr>
      <w:r>
        <w:t xml:space="preserve">Prepared by: Sales &amp; Operations Department | Date: October 15, 2023</w:t>
      </w:r>
    </w:p>
    <w:p>
      <w:pPr>
        <w:pStyle w:val="BodyText"/>
      </w:pPr>
      <w:r>
        <w:t xml:space="preserve">This report is exclusively for internal use at our Myanmar Yangon operations. All sales data represents actual transactions within Yangon city limits (including all 44 townships).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Myanmar Yangon</dc:title>
  <dc:creator/>
  <dc:language>en</dc:language>
  <cp:keywords/>
  <dcterms:created xsi:type="dcterms:W3CDTF">2025-12-09T07:56:53Z</dcterms:created>
  <dcterms:modified xsi:type="dcterms:W3CDTF">2025-12-09T07:56:53Z</dcterms:modified>
</cp:coreProperties>
</file>

<file path=docProps/custom.xml><?xml version="1.0" encoding="utf-8"?>
<Properties xmlns="http://schemas.openxmlformats.org/officeDocument/2006/custom-properties" xmlns:vt="http://schemas.openxmlformats.org/officeDocument/2006/docPropsVTypes"/>
</file>