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Auckland</w:t>
      </w:r>
      <w:r>
        <w:t xml:space="preserve"> </w:t>
      </w:r>
      <w:r>
        <w:t xml:space="preserve">Carpenter</w:t>
      </w:r>
      <w:r>
        <w:t xml:space="preserve"> </w:t>
      </w:r>
      <w:r>
        <w:t xml:space="preserve">Sales</w:t>
      </w:r>
      <w:r>
        <w:t xml:space="preserve"> </w:t>
      </w:r>
      <w:r>
        <w:t xml:space="preserve">Report</w:t>
      </w:r>
    </w:p>
    <w:bookmarkStart w:id="27" w:name="X0fb5ad778ca6083958527a792ff9f509a29cb00"/>
    <w:p>
      <w:pPr>
        <w:pStyle w:val="Heading1"/>
      </w:pPr>
      <w:r>
        <w:t xml:space="preserve">Comprehensive Sales Report: Premium Carpenter Services in New Zealand Auckland</w:t>
      </w:r>
    </w:p>
    <w:bookmarkStart w:id="20" w:name="executive-summary"/>
    <w:p>
      <w:pPr>
        <w:pStyle w:val="Heading2"/>
      </w:pPr>
      <w:r>
        <w:t xml:space="preserve">Executive Summary</w:t>
      </w:r>
    </w:p>
    <w:p>
      <w:pPr>
        <w:pStyle w:val="FirstParagraph"/>
      </w:pPr>
      <w:r>
        <w:t xml:space="preserve">This official Sales Report details the performance of our premium carpentry services across New Zealand Auckland during the fiscal quarter ending June 30, 2024. As a leading local</w:t>
      </w:r>
      <w:r>
        <w:t xml:space="preserve"> </w:t>
      </w:r>
      <w:r>
        <w:rPr>
          <w:bCs/>
          <w:b/>
        </w:rPr>
        <w:t xml:space="preserve">Carpenter</w:t>
      </w:r>
      <w:r>
        <w:t xml:space="preserve"> </w:t>
      </w:r>
      <w:r>
        <w:t xml:space="preserve">business operating exclusively within Auckland's dynamic construction and renovation market, we achieved exceptional growth with a 17.8% year-over-year increase in revenue, totaling $486,500. This report underscores how strategic positioning as an Auckland-based</w:t>
      </w:r>
      <w:r>
        <w:t xml:space="preserve"> </w:t>
      </w:r>
      <w:r>
        <w:rPr>
          <w:iCs/>
          <w:i/>
        </w:rPr>
        <w:t xml:space="preserve">carpenter</w:t>
      </w:r>
      <w:r>
        <w:t xml:space="preserve"> </w:t>
      </w:r>
      <w:r>
        <w:t xml:space="preserve">has capitalized on the city's booming housing market while navigating unique regional challenges. Our success demonstrates that specialized craftsmanship combined with hyper-local market knowledge remains critical for sustainable growth in New Zealand's competitive building sector.</w:t>
      </w:r>
    </w:p>
    <w:bookmarkEnd w:id="20"/>
    <w:bookmarkStart w:id="21" w:name="sales-performance-breakdown"/>
    <w:p>
      <w:pPr>
        <w:pStyle w:val="Heading2"/>
      </w:pPr>
      <w:r>
        <w:t xml:space="preserve">Sales Performance Breakdown</w:t>
      </w:r>
    </w:p>
    <w:p>
      <w:pPr>
        <w:pStyle w:val="FirstParagraph"/>
      </w:pPr>
      <w:r>
        <w:t xml:space="preserve">The Sales Report reveals significant growth across all service segments. Residential projects accounted for 68% of total revenue ($330,820), driven by Auckland's high demand for custom home renovations and new builds in suburbs like Mount Albert and Devonport. Commercial carpentry (25% - $121,625) saw the strongest growth at 29.4%, particularly in hospitality sector projects including café fit-outs along Queen Street. The remaining 7% ($34,055) came from specialty services like heritage restoration for historic Auckland properties such as those in Parnell.</w:t>
      </w:r>
    </w:p>
    <w:p>
      <w:pPr>
        <w:pStyle w:val="BodyText"/>
      </w:pPr>
      <w:r>
        <w:t xml:space="preserve">Key performance indicators show remarkable consistency:</w:t>
      </w:r>
    </w:p>
    <w:p>
      <w:pPr>
        <w:numPr>
          <w:ilvl w:val="0"/>
          <w:numId w:val="1001"/>
        </w:numPr>
        <w:pStyle w:val="Compact"/>
      </w:pPr>
      <w:r>
        <w:rPr>
          <w:bCs/>
          <w:b/>
        </w:rPr>
        <w:t xml:space="preserve">Project Completion Rate:</w:t>
      </w:r>
      <w:r>
        <w:t xml:space="preserve"> </w:t>
      </w:r>
      <w:r>
        <w:t xml:space="preserve">96.2% (exceeding industry average of 89%)</w:t>
      </w:r>
    </w:p>
    <w:p>
      <w:pPr>
        <w:numPr>
          <w:ilvl w:val="0"/>
          <w:numId w:val="1001"/>
        </w:numPr>
        <w:pStyle w:val="Compact"/>
      </w:pPr>
      <w:r>
        <w:rPr>
          <w:bCs/>
          <w:b/>
        </w:rPr>
        <w:t xml:space="preserve">Customer Retention:</w:t>
      </w:r>
      <w:r>
        <w:t xml:space="preserve"> </w:t>
      </w:r>
      <w:r>
        <w:t xml:space="preserve">74% repeat clients - a direct result of our Auckland-specific service approach</w:t>
      </w:r>
    </w:p>
    <w:p>
      <w:pPr>
        <w:numPr>
          <w:ilvl w:val="0"/>
          <w:numId w:val="1001"/>
        </w:numPr>
        <w:pStyle w:val="Compact"/>
      </w:pPr>
      <w:r>
        <w:rPr>
          <w:bCs/>
          <w:b/>
        </w:rPr>
        <w:t xml:space="preserve">Average Project Value:</w:t>
      </w:r>
      <w:r>
        <w:t xml:space="preserve"> </w:t>
      </w:r>
      <w:r>
        <w:t xml:space="preserve">$14,300 (up 12.3% YoY)</w:t>
      </w:r>
    </w:p>
    <w:p>
      <w:pPr>
        <w:numPr>
          <w:ilvl w:val="0"/>
          <w:numId w:val="1001"/>
        </w:numPr>
        <w:pStyle w:val="Compact"/>
      </w:pPr>
      <w:r>
        <w:rPr>
          <w:bCs/>
          <w:b/>
        </w:rPr>
        <w:t xml:space="preserve">New Client Acquisition:</w:t>
      </w:r>
      <w:r>
        <w:t xml:space="preserve"> </w:t>
      </w:r>
      <w:r>
        <w:t xml:space="preserve">327 new customers in Auckland (19.7% increase from previous quarter)</w:t>
      </w:r>
    </w:p>
    <w:bookmarkEnd w:id="21"/>
    <w:bookmarkStart w:id="22" w:name="Xd44930ccf2e87f8c8c14c3d59eb72bf86de61a3"/>
    <w:p>
      <w:pPr>
        <w:pStyle w:val="Heading2"/>
      </w:pPr>
      <w:r>
        <w:t xml:space="preserve">Market Analysis: Auckland's Unique Demand Drivers</w:t>
      </w:r>
    </w:p>
    <w:p>
      <w:pPr>
        <w:pStyle w:val="FirstParagraph"/>
      </w:pPr>
      <w:r>
        <w:t xml:space="preserve">This Sales Report identifies three pivotal market factors specific to New Zealand Auckland that directly impacted our performance:</w:t>
      </w:r>
    </w:p>
    <w:p>
      <w:pPr>
        <w:pStyle w:val="BodyText"/>
      </w:pPr>
      <w:r>
        <w:rPr>
          <w:bCs/>
          <w:b/>
        </w:rPr>
        <w:t xml:space="preserve">1. Housing Market Surge:</w:t>
      </w:r>
      <w:r>
        <w:t xml:space="preserve"> </w:t>
      </w:r>
      <w:r>
        <w:t xml:space="preserve">With Auckland experiencing a 15.3% year-on-year increase in new construction permits (as reported by MBIE), demand for skilled carpenters has intensified. Our ability to deliver on tight project timelines—critical in Auckland's competitive real estate market—became our key differentiator. Projects like the $285,000 custom timber-framed home in Remuera demonstrated how specialized</w:t>
      </w:r>
      <w:r>
        <w:t xml:space="preserve"> </w:t>
      </w:r>
      <w:r>
        <w:rPr>
          <w:iCs/>
          <w:i/>
        </w:rPr>
        <w:t xml:space="preserve">carpenter</w:t>
      </w:r>
      <w:r>
        <w:t xml:space="preserve"> </w:t>
      </w:r>
      <w:r>
        <w:t xml:space="preserve">expertise commands premium pricing.</w:t>
      </w:r>
    </w:p>
    <w:p>
      <w:pPr>
        <w:pStyle w:val="BodyText"/>
      </w:pPr>
      <w:r>
        <w:rPr>
          <w:bCs/>
          <w:b/>
        </w:rPr>
        <w:t xml:space="preserve">2. Sustainability Regulations:</w:t>
      </w:r>
      <w:r>
        <w:t xml:space="preserve"> </w:t>
      </w:r>
      <w:r>
        <w:t xml:space="preserve">New Zealand's Energy Efficiency (Residential Buildings) Minimum Standards 2019 have elevated demand for precision carpentry in eco-renovations. Our Auckland-based team now completes 43% of projects with certified sustainable timber, directly responding to council requirements and client preferences in environmentally conscious suburbs like Ōtāhuhu.</w:t>
      </w:r>
    </w:p>
    <w:p>
      <w:pPr>
        <w:pStyle w:val="BodyText"/>
      </w:pPr>
      <w:r>
        <w:rPr>
          <w:bCs/>
          <w:b/>
        </w:rPr>
        <w:t xml:space="preserve">3. Infrastructure Development:</w:t>
      </w:r>
      <w:r>
        <w:t xml:space="preserve"> </w:t>
      </w:r>
      <w:r>
        <w:t xml:space="preserve">The ongoing Auckland Light Rail project has created unexpected demand for temporary structures and site carpentry services. Our</w:t>
      </w:r>
      <w:r>
        <w:t xml:space="preserve"> </w:t>
      </w:r>
      <w:r>
        <w:rPr>
          <w:iCs/>
          <w:i/>
        </w:rPr>
        <w:t xml:space="preserve">Carpenter</w:t>
      </w:r>
      <w:r>
        <w:t xml:space="preserve"> </w:t>
      </w:r>
      <w:r>
        <w:t xml:space="preserve">team secured contracts with major contractors working on the Eastern Line, generating $62,100 in revenue within 90 days—a strategic move that capitalized on city-wide infrastructure activity.</w:t>
      </w:r>
    </w:p>
    <w:bookmarkEnd w:id="22"/>
    <w:bookmarkStart w:id="23" w:name="regional-challenges-solutions"/>
    <w:p>
      <w:pPr>
        <w:pStyle w:val="Heading2"/>
      </w:pPr>
      <w:r>
        <w:t xml:space="preserve">Regional Challenges &amp; Solutions</w:t>
      </w:r>
    </w:p>
    <w:p>
      <w:pPr>
        <w:pStyle w:val="FirstParagraph"/>
      </w:pPr>
      <w:r>
        <w:t xml:space="preserve">The Sales Report candidly addresses unique New Zealand Auckland operational challenges:</w:t>
      </w:r>
    </w:p>
    <w:p>
      <w:pPr>
        <w:pStyle w:val="BodyText"/>
      </w:pPr>
      <w:r>
        <w:rPr>
          <w:bCs/>
          <w:b/>
        </w:rPr>
        <w:t xml:space="preserve">Supply Chain Disruptions:</w:t>
      </w:r>
      <w:r>
        <w:t xml:space="preserve"> </w:t>
      </w:r>
      <w:r>
        <w:t xml:space="preserve">Timber import delays from Australia (affecting 63% of our projects) were mitigated through partnerships with local Auckland sawmills like Waikato Timber. This localized sourcing reduced material lead times by 38% and strengthened our community ties—a key factor in winning tender opportunities.</w:t>
      </w:r>
    </w:p>
    <w:p>
      <w:pPr>
        <w:pStyle w:val="BodyText"/>
      </w:pPr>
      <w:r>
        <w:rPr>
          <w:bCs/>
          <w:b/>
        </w:rPr>
        <w:t xml:space="preserve">Labour Market Constraints:</w:t>
      </w:r>
      <w:r>
        <w:t xml:space="preserve"> </w:t>
      </w:r>
      <w:r>
        <w:t xml:space="preserve">As a certified New Zealand tradesperson provider, we implemented an apprenticeship program with Auckland Trades Academy, training 14 new carpenters. This not only addressed the industry-wide skilled worker shortage but also aligned with the government's "Skilled Trades Growth Strategy" for Auckland.</w:t>
      </w:r>
    </w:p>
    <w:p>
      <w:pPr>
        <w:pStyle w:val="BodyText"/>
      </w:pPr>
      <w:r>
        <w:rPr>
          <w:bCs/>
          <w:b/>
        </w:rPr>
        <w:t xml:space="preserve">Weather Impacts:</w:t>
      </w:r>
      <w:r>
        <w:t xml:space="preserve"> </w:t>
      </w:r>
      <w:r>
        <w:t xml:space="preserve">The 2023-24 rainy season caused project delays in 18% of residential jobs. Our solution—pre-fabricating indoor components off-site at our West Auckland workshop—ensured we maintained 94% on-time delivery despite weather, a capability unique to our Auckland-based operation.</w:t>
      </w:r>
    </w:p>
    <w:bookmarkEnd w:id="23"/>
    <w:bookmarkStart w:id="24" w:name="X80e8fa5018c67deba2ab85ab4facc402139cbff"/>
    <w:p>
      <w:pPr>
        <w:pStyle w:val="Heading2"/>
      </w:pPr>
      <w:r>
        <w:t xml:space="preserve">Competitive Positioning in New Zealand's Carpenter Market</w:t>
      </w:r>
    </w:p>
    <w:p>
      <w:pPr>
        <w:pStyle w:val="FirstParagraph"/>
      </w:pPr>
      <w:r>
        <w:t xml:space="preserve">This Sales Report analyzes our competitive edge within New Zealand Auckland:</w:t>
      </w:r>
    </w:p>
    <w:p>
      <w:pPr>
        <w:pStyle w:val="BodyText"/>
      </w:pPr>
      <w:r>
        <w:t xml:space="preserve">We outperformed national average carpenter revenue growth (8.2%) by 9.6 percentage points, primarily through hyper-local specialization. While competitors offer generic services across multiple regions, our deep understanding of Auckland's building codes (e.g., seismic requirements in coastal zones), council processes, and suburb-specific preferences has been decisive. For instance:</w:t>
      </w:r>
    </w:p>
    <w:p>
      <w:pPr>
        <w:numPr>
          <w:ilvl w:val="0"/>
          <w:numId w:val="1002"/>
        </w:numPr>
        <w:pStyle w:val="Compact"/>
      </w:pPr>
      <w:r>
        <w:t xml:space="preserve">Our "Auckland Coastal Build" package (custom framing for sea-facing properties) achieved 23% profit margins</w:t>
      </w:r>
    </w:p>
    <w:p>
      <w:pPr>
        <w:numPr>
          <w:ilvl w:val="0"/>
          <w:numId w:val="1002"/>
        </w:numPr>
        <w:pStyle w:val="Compact"/>
      </w:pPr>
      <w:r>
        <w:t xml:space="preserve">Custom solutions for Auckland's unique architectural styles (e.g., Edwardian renovations in St Johns) drove 57% of high-value contracts</w:t>
      </w:r>
    </w:p>
    <w:p>
      <w:pPr>
        <w:numPr>
          <w:ilvl w:val="0"/>
          <w:numId w:val="1002"/>
        </w:numPr>
        <w:pStyle w:val="Compact"/>
      </w:pPr>
      <w:r>
        <w:t xml:space="preserve">Real-time collaboration with Auckland architects through our digital platform reduced design-to-construction time by 31%</w:t>
      </w:r>
    </w:p>
    <w:bookmarkEnd w:id="24"/>
    <w:bookmarkStart w:id="25" w:name="future-outlook-strategic-recommendations"/>
    <w:p>
      <w:pPr>
        <w:pStyle w:val="Heading2"/>
      </w:pPr>
      <w:r>
        <w:t xml:space="preserve">Future Outlook &amp; Strategic Recommendations</w:t>
      </w:r>
    </w:p>
    <w:p>
      <w:pPr>
        <w:pStyle w:val="FirstParagraph"/>
      </w:pPr>
      <w:r>
        <w:t xml:space="preserve">The Sales Report concludes with data-driven recommendations for sustained growth in New Zealand Auckland:</w:t>
      </w:r>
    </w:p>
    <w:p>
      <w:pPr>
        <w:pStyle w:val="BodyText"/>
      </w:pPr>
      <w:r>
        <w:rPr>
          <w:bCs/>
          <w:b/>
        </w:rPr>
        <w:t xml:space="preserve">Short-Term (0-12 months):</w:t>
      </w:r>
    </w:p>
    <w:p>
      <w:pPr>
        <w:numPr>
          <w:ilvl w:val="0"/>
          <w:numId w:val="1003"/>
        </w:numPr>
        <w:pStyle w:val="Compact"/>
      </w:pPr>
      <w:r>
        <w:rPr>
          <w:iCs/>
          <w:i/>
        </w:rPr>
        <w:t xml:space="preserve">Expand Auckland Service Zones:</w:t>
      </w:r>
      <w:r>
        <w:t xml:space="preserve"> </w:t>
      </w:r>
      <w:r>
        <w:t xml:space="preserve">Target emerging suburbs like Manukau City where housing demand is surging, allocating 40% of new marketing budget to these areas</w:t>
      </w:r>
    </w:p>
    <w:p>
      <w:pPr>
        <w:numPr>
          <w:ilvl w:val="0"/>
          <w:numId w:val="1003"/>
        </w:numPr>
        <w:pStyle w:val="Compact"/>
      </w:pPr>
      <w:r>
        <w:rPr>
          <w:iCs/>
          <w:i/>
        </w:rPr>
        <w:t xml:space="preserve">Enhance Sustainability Offerings:</w:t>
      </w:r>
      <w:r>
        <w:t xml:space="preserve"> </w:t>
      </w:r>
      <w:r>
        <w:t xml:space="preserve">Develop a certified "Auckland Green Builder" certification for carpentry services to align with city council initiatives</w:t>
      </w:r>
    </w:p>
    <w:p>
      <w:pPr>
        <w:pStyle w:val="FirstParagraph"/>
      </w:pPr>
      <w:r>
        <w:rPr>
          <w:bCs/>
          <w:b/>
        </w:rPr>
        <w:t xml:space="preserve">Long-Term (1-3 years):</w:t>
      </w:r>
    </w:p>
    <w:p>
      <w:pPr>
        <w:numPr>
          <w:ilvl w:val="0"/>
          <w:numId w:val="1004"/>
        </w:numPr>
        <w:pStyle w:val="Compact"/>
      </w:pPr>
      <w:r>
        <w:rPr>
          <w:iCs/>
          <w:i/>
        </w:rPr>
        <w:t xml:space="preserve">Create Auckland Carpentry Hub:</w:t>
      </w:r>
      <w:r>
        <w:t xml:space="preserve"> </w:t>
      </w:r>
      <w:r>
        <w:t xml:space="preserve">Establish a central workshop in Panmure to streamline logistics for all Auckland projects, reducing transport costs by 22%</w:t>
      </w:r>
    </w:p>
    <w:p>
      <w:pPr>
        <w:numPr>
          <w:ilvl w:val="0"/>
          <w:numId w:val="1004"/>
        </w:numPr>
        <w:pStyle w:val="Compact"/>
      </w:pPr>
      <w:r>
        <w:rPr>
          <w:iCs/>
          <w:i/>
        </w:rPr>
        <w:t xml:space="preserve">Lead Industry Standards:</w:t>
      </w:r>
      <w:r>
        <w:t xml:space="preserve"> </w:t>
      </w:r>
      <w:r>
        <w:t xml:space="preserve">Partner with NZ Carpenter Association to develop new training modules specific to Auckland's unique construction environment</w:t>
      </w:r>
    </w:p>
    <w:bookmarkEnd w:id="25"/>
    <w:bookmarkStart w:id="26" w:name="conclusion"/>
    <w:p>
      <w:pPr>
        <w:pStyle w:val="Heading2"/>
      </w:pPr>
      <w:r>
        <w:t xml:space="preserve">Conclusion</w:t>
      </w:r>
    </w:p>
    <w:p>
      <w:pPr>
        <w:pStyle w:val="FirstParagraph"/>
      </w:pPr>
      <w:r>
        <w:t xml:space="preserve">This comprehensive Sales Report confirms that as a specialized carpenter business operating within New Zealand Auckland, our localized expertise delivers measurable competitive advantage. The 17.8% revenue growth and 74% client retention rate demonstrate that understanding Auckland's specific market dynamics—whether it's seismic building codes in North Shore or sustainable timber requirements in East Tamaki—is not merely advantageous but essential for success.</w:t>
      </w:r>
    </w:p>
    <w:p>
      <w:pPr>
        <w:pStyle w:val="BodyText"/>
      </w:pPr>
      <w:r>
        <w:t xml:space="preserve">As the construction industry continues to evolve, our commitment to being Auckland-first will remain central to our strategy. We are confident that by doubling down on hyper-localized carpentry solutions, we will continue setting the benchmark for professional service delivery across New Zealand's most challenging and rewarding market: Auckland. The data is clear—when a</w:t>
      </w:r>
      <w:r>
        <w:t xml:space="preserve"> </w:t>
      </w:r>
      <w:r>
        <w:rPr>
          <w:iCs/>
          <w:i/>
        </w:rPr>
        <w:t xml:space="preserve">carpenter</w:t>
      </w:r>
      <w:r>
        <w:t xml:space="preserve"> </w:t>
      </w:r>
      <w:r>
        <w:t xml:space="preserve">understands their city, they don't just build structures; they build enduring partnerships within the communities that sustain them.</w:t>
      </w:r>
    </w:p>
    <w:p>
      <w:pPr>
        <w:pStyle w:val="BodyText"/>
      </w:pPr>
      <w:r>
        <w:rPr>
          <w:bCs/>
          <w:b/>
        </w:rPr>
        <w:t xml:space="preserve">Sales Report Prepared For:</w:t>
      </w:r>
      <w:r>
        <w:br/>
      </w:r>
      <w:r>
        <w:t xml:space="preserve">Auckland Regional Business Group</w:t>
      </w:r>
      <w:r>
        <w:br/>
      </w:r>
      <w:r>
        <w:t xml:space="preserve">New Zealand Carpenter Association (NZCA)</w:t>
      </w:r>
      <w:r>
        <w:br/>
      </w:r>
      <w:r>
        <w:t xml:space="preserve">Date: July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Auckland Carpenter Sales Report</dc:title>
  <dc:creator/>
  <dc:language>en</dc:language>
  <cp:keywords/>
  <dcterms:created xsi:type="dcterms:W3CDTF">2025-12-10T21:31:48Z</dcterms:created>
  <dcterms:modified xsi:type="dcterms:W3CDTF">2025-12-10T21:31:48Z</dcterms:modified>
</cp:coreProperties>
</file>

<file path=docProps/custom.xml><?xml version="1.0" encoding="utf-8"?>
<Properties xmlns="http://schemas.openxmlformats.org/officeDocument/2006/custom-properties" xmlns:vt="http://schemas.openxmlformats.org/officeDocument/2006/docPropsVTypes"/>
</file>