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Manila</w:t>
      </w:r>
      <w:r>
        <w:t xml:space="preserve"> </w:t>
      </w:r>
      <w:r>
        <w:t xml:space="preserve">Carpenter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6" w:name="X623af12dddcabae3a793b73c0ff2633ab3fee5c"/>
    <w:p>
      <w:pPr>
        <w:pStyle w:val="Heading1"/>
      </w:pPr>
      <w:r>
        <w:t xml:space="preserve">Sales Report: Carpenter Services | Manila, Philippines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&amp; Stakeholders</w:t>
      </w:r>
      <w:r>
        <w:br/>
      </w:r>
      <w:r>
        <w:rPr>
          <w:bCs/>
          <w:b/>
        </w:rPr>
        <w:t xml:space="preserve">Location:</w:t>
      </w:r>
      <w:r>
        <w:t xml:space="preserve"> </w:t>
      </w:r>
      <w:r>
        <w:t xml:space="preserve">Manila, Philippines (with service coverage across Metro Manila suburbs)</w:t>
      </w:r>
    </w:p>
    <w:bookmarkStart w:id="20" w:name="i.-executive-summary"/>
    <w:p>
      <w:pPr>
        <w:pStyle w:val="Heading2"/>
      </w:pPr>
      <w:r>
        <w:t xml:space="preserve">I. Executive Summary</w:t>
      </w:r>
    </w:p>
    <w:p>
      <w:pPr>
        <w:pStyle w:val="FirstParagraph"/>
      </w:pPr>
      <w:r>
        <w:t xml:space="preserve">This quarterly sales report details the performance of our carpentry services across the vibrant market of Manila, Philippines. The third quarter (July–September 2023) marked a significant milestone for our Carpenter team, achieving a 35% year-over-year growth in revenue despite seasonal challenges. Total sales reached ₱1,845,000 (Philippine Peso), driven by high-demand residential renovations and commercial projects in key Manila districts including Makati, Quezon City, and Mandaluyong. Our Carpenter services remain critically important to Manila's construction ecosystem, where demand for skilled woodcraft continues to outpace supply due to rapid urban development.</w:t>
      </w:r>
    </w:p>
    <w:bookmarkEnd w:id="20"/>
    <w:bookmarkStart w:id="21" w:name="ii.-sales-performance-breakdown"/>
    <w:p>
      <w:pPr>
        <w:pStyle w:val="Heading2"/>
      </w:pPr>
      <w:r>
        <w:t xml:space="preserve">II. Sales Performance Breakdown</w:t>
      </w:r>
    </w:p>
    <w:p>
      <w:pPr>
        <w:pStyle w:val="FirstParagraph"/>
      </w:pPr>
      <w:r>
        <w:rPr>
          <w:bCs/>
          <w:b/>
        </w:rPr>
        <w:t xml:space="preserve">Project Type Analysis:</w:t>
      </w:r>
    </w:p>
    <w:p>
      <w:pPr>
        <w:numPr>
          <w:ilvl w:val="0"/>
          <w:numId w:val="1001"/>
        </w:numPr>
        <w:pStyle w:val="Compact"/>
      </w:pPr>
      <w:r>
        <w:rPr>
          <w:bCs/>
          <w:b/>
        </w:rPr>
        <w:t xml:space="preserve">Residential Renovations (58% of Sales):</w:t>
      </w:r>
      <w:r>
        <w:t xml:space="preserve"> </w:t>
      </w:r>
      <w:r>
        <w:t xml:space="preserve">62 projects completed in Manila suburbs, primarily focused on kitchen cabinetry, bedroom wardrobes, and balcony railings. Key areas: Sampaloc (32%), Ermita (18%), and San Juan (15%). Demand surged due to post-pandemic home improvement trends.</w:t>
      </w:r>
    </w:p>
    <w:p>
      <w:pPr>
        <w:numPr>
          <w:ilvl w:val="0"/>
          <w:numId w:val="1001"/>
        </w:numPr>
        <w:pStyle w:val="Compact"/>
      </w:pPr>
      <w:r>
        <w:rPr>
          <w:bCs/>
          <w:b/>
        </w:rPr>
        <w:t xml:space="preserve">Commercial Installations (32% of Sales):</w:t>
      </w:r>
      <w:r>
        <w:t xml:space="preserve"> </w:t>
      </w:r>
      <w:r>
        <w:t xml:space="preserve">17 projects for offices, retail spaces, and cafes in Makati CBD and Bonifacio Global City. Included custom reception desks, display shelves, and partition walls. Client retention rate at 76% due to Manila’s competitive commercial sector.</w:t>
      </w:r>
    </w:p>
    <w:p>
      <w:pPr>
        <w:numPr>
          <w:ilvl w:val="0"/>
          <w:numId w:val="1001"/>
        </w:numPr>
        <w:pStyle w:val="Compact"/>
      </w:pPr>
      <w:r>
        <w:rPr>
          <w:bCs/>
          <w:b/>
        </w:rPr>
        <w:t xml:space="preserve">Specialized Carpentry (10% of Sales):</w:t>
      </w:r>
      <w:r>
        <w:t xml:space="preserve"> </w:t>
      </w:r>
      <w:r>
        <w:t xml:space="preserve">Heritage restoration projects (e.g., colonial-style doors in Intramuros) and high-end furniture for luxury homes in Forbes Park. These retained premium pricing, averaging ₱32,500/project.</w:t>
      </w:r>
    </w:p>
    <w:p>
      <w:pPr>
        <w:pStyle w:val="FirstParagraph"/>
      </w:pPr>
      <w:r>
        <w:rPr>
          <w:bCs/>
          <w:b/>
        </w:rPr>
        <w:t xml:space="preserve">Geographic Performance: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Manila District</w:t>
            </w:r>
          </w:p>
        </w:tc>
        <w:tc>
          <w:tcPr/>
          <w:p>
            <w:pPr>
              <w:pStyle w:val="Compact"/>
              <w:jc w:val="left"/>
            </w:pPr>
            <w:r>
              <w:t xml:space="preserve">Sales Volume (₱)</w:t>
            </w:r>
          </w:p>
        </w:tc>
        <w:tc>
          <w:tcPr/>
          <w:p>
            <w:pPr>
              <w:pStyle w:val="Compact"/>
              <w:jc w:val="left"/>
            </w:pPr>
            <w:r>
              <w:t xml:space="preserve">Growth vs Q2 2023</w:t>
            </w:r>
          </w:p>
        </w:tc>
      </w:tr>
      <w:tr>
        <w:tc>
          <w:tcPr/>
          <w:p>
            <w:pPr>
              <w:pStyle w:val="Compact"/>
              <w:jc w:val="left"/>
            </w:pPr>
            <w:r>
              <w:t xml:space="preserve">Makati / BGC</w:t>
            </w:r>
          </w:p>
        </w:tc>
        <w:tc>
          <w:tcPr/>
          <w:p>
            <w:pPr>
              <w:pStyle w:val="Compact"/>
              <w:jc w:val="left"/>
            </w:pPr>
            <w:r>
              <w:t xml:space="preserve">₱610,000</w:t>
            </w:r>
          </w:p>
        </w:tc>
        <w:tc>
          <w:tcPr/>
          <w:p>
            <w:pPr>
              <w:pStyle w:val="Compact"/>
              <w:jc w:val="left"/>
            </w:pPr>
            <w:r>
              <w:t xml:space="preserve">+19%</w:t>
            </w:r>
          </w:p>
        </w:tc>
      </w:tr>
      <w:tr>
        <w:tc>
          <w:tcPr/>
          <w:p>
            <w:pPr>
              <w:pStyle w:val="Compact"/>
              <w:jc w:val="left"/>
            </w:pPr>
            <w:r>
              <w:t xml:space="preserve">Quezon City</w:t>
            </w:r>
          </w:p>
        </w:tc>
        <w:tc>
          <w:tcPr/>
          <w:p>
            <w:pPr>
              <w:pStyle w:val="Compact"/>
              <w:jc w:val="left"/>
            </w:pPr>
            <w:r>
              <w:t xml:space="preserve">₱485,000</w:t>
            </w:r>
          </w:p>
        </w:tc>
        <w:tc>
          <w:tcPr/>
          <w:p>
            <w:pPr>
              <w:pStyle w:val="Compact"/>
              <w:jc w:val="left"/>
            </w:pPr>
            <w:r>
              <w:t xml:space="preserve">+28%</w:t>
            </w:r>
          </w:p>
        </w:tc>
      </w:tr>
      <w:tr>
        <w:tc>
          <w:tcPr/>
          <w:p>
            <w:pPr>
              <w:pStyle w:val="Compact"/>
              <w:jc w:val="left"/>
            </w:pPr>
            <w:r>
              <w:t xml:space="preserve">Total Manila Sales (Q3 2023)</w:t>
            </w:r>
          </w:p>
        </w:tc>
        <w:tc>
          <w:tcPr/>
          <w:p>
            <w:pPr>
              <w:pStyle w:val="Compact"/>
            </w:pPr>
          </w:p>
        </w:tc>
        <w:tc>
          <w:tcPr/>
          <w:p>
            <w:pPr>
              <w:pStyle w:val="Compact"/>
            </w:pPr>
          </w:p>
        </w:tc>
      </w:tr>
      <w:tr>
        <w:tc>
          <w:tcPr/>
          <w:p>
            <w:pPr>
              <w:pStyle w:val="Compact"/>
              <w:jc w:val="left"/>
            </w:pPr>
            <w:r>
              <w:rPr>
                <w:bCs/>
                <w:b/>
              </w:rPr>
              <w:t xml:space="preserve">₱1,845,000</w:t>
            </w:r>
            <w:r>
              <w:t xml:space="preserve"> </w:t>
            </w:r>
            <w:r>
              <w:t xml:space="preserve">(+35% YoY)</w:t>
            </w:r>
          </w:p>
        </w:tc>
        <w:tc>
          <w:tcPr/>
          <w:p>
            <w:pPr>
              <w:pStyle w:val="Compact"/>
            </w:pPr>
          </w:p>
        </w:tc>
        <w:tc>
          <w:tcPr/>
          <w:p>
            <w:pPr>
              <w:pStyle w:val="Compact"/>
            </w:pPr>
          </w:p>
        </w:tc>
      </w:tr>
    </w:tbl>
    <w:bookmarkEnd w:id="21"/>
    <w:bookmarkStart w:id="22" w:name="Xacf66d5f82fc1da2a37afc508d2b8eaba320c6b"/>
    <w:p>
      <w:pPr>
        <w:pStyle w:val="Heading2"/>
      </w:pPr>
      <w:r>
        <w:t xml:space="preserve">III. Key Factors Driving Success in Manila</w:t>
      </w:r>
    </w:p>
    <w:p>
      <w:pPr>
        <w:pStyle w:val="FirstParagraph"/>
      </w:pPr>
      <w:r>
        <w:t xml:space="preserve">The Carpenter team’s success in the Philippines Manila market stems from three pillars:</w:t>
      </w:r>
    </w:p>
    <w:p>
      <w:pPr>
        <w:numPr>
          <w:ilvl w:val="0"/>
          <w:numId w:val="1002"/>
        </w:numPr>
        <w:pStyle w:val="Compact"/>
      </w:pPr>
      <w:r>
        <w:rPr>
          <w:bCs/>
          <w:b/>
        </w:rPr>
        <w:t xml:space="preserve">Local Material Sourcing:</w:t>
      </w:r>
      <w:r>
        <w:t xml:space="preserve"> </w:t>
      </w:r>
      <w:r>
        <w:t xml:space="preserve">Partnering with suppliers in Laguna and Rizal for sustainably harvested Narra, Apitong, and Kamagong wood. This reduced lead times by 25% compared to imported materials, critical for Manila’s fast-paced projects.</w:t>
      </w:r>
    </w:p>
    <w:p>
      <w:pPr>
        <w:numPr>
          <w:ilvl w:val="0"/>
          <w:numId w:val="1002"/>
        </w:numPr>
        <w:pStyle w:val="Compact"/>
      </w:pPr>
      <w:r>
        <w:rPr>
          <w:bCs/>
          <w:b/>
        </w:rPr>
        <w:t xml:space="preserve">Cultural Alignment:</w:t>
      </w:r>
      <w:r>
        <w:t xml:space="preserve"> </w:t>
      </w:r>
      <w:r>
        <w:t xml:space="preserve">Adapting designs to Filipino preferences—e.g., elevated floor panels for flood-prone areas in Tondo and ornate *bahay na bato* motifs requested by clients in San Miguel. This localized approach boosted customer satisfaction scores to 4.7/5.</w:t>
      </w:r>
    </w:p>
    <w:p>
      <w:pPr>
        <w:numPr>
          <w:ilvl w:val="0"/>
          <w:numId w:val="1002"/>
        </w:numPr>
        <w:pStyle w:val="Compact"/>
      </w:pPr>
      <w:r>
        <w:rPr>
          <w:bCs/>
          <w:b/>
        </w:rPr>
        <w:t xml:space="preserve">Regulatory Compliance:</w:t>
      </w:r>
      <w:r>
        <w:t xml:space="preserve"> </w:t>
      </w:r>
      <w:r>
        <w:t xml:space="preserve">Strict adherence to the</w:t>
      </w:r>
      <w:r>
        <w:t xml:space="preserve"> </w:t>
      </w:r>
      <w:r>
        <w:rPr>
          <w:iCs/>
          <w:i/>
        </w:rPr>
        <w:t xml:space="preserve">National Building Code of the Philippines</w:t>
      </w:r>
      <w:r>
        <w:t xml:space="preserve">, particularly Section 6 on structural safety for carpentry works. This built trust with Manila city hall-approved contractors, securing repeat business from firms like DMCI Homes and Ayala Land.</w:t>
      </w:r>
    </w:p>
    <w:bookmarkEnd w:id="22"/>
    <w:bookmarkStart w:id="23" w:name="Xc21c11c2c60911926b711d40b793b61021d9955"/>
    <w:p>
      <w:pPr>
        <w:pStyle w:val="Heading2"/>
      </w:pPr>
      <w:r>
        <w:t xml:space="preserve">IV. Challenges in Manila's Market Landscape</w:t>
      </w:r>
    </w:p>
    <w:p>
      <w:pPr>
        <w:pStyle w:val="FirstParagraph"/>
      </w:pPr>
      <w:r>
        <w:t xml:space="preserve">Despite growth, the Carpenter team navigated several Manila-specific challenges:</w:t>
      </w:r>
    </w:p>
    <w:p>
      <w:pPr>
        <w:numPr>
          <w:ilvl w:val="0"/>
          <w:numId w:val="1003"/>
        </w:numPr>
        <w:pStyle w:val="Compact"/>
      </w:pPr>
      <w:r>
        <w:rPr>
          <w:bCs/>
          <w:b/>
        </w:rPr>
        <w:t xml:space="preserve">Seasonal Disruptions:</w:t>
      </w:r>
      <w:r>
        <w:t xml:space="preserve"> </w:t>
      </w:r>
      <w:r>
        <w:t xml:space="preserve">Typhoon "Carina" (August) delayed 4 projects in Quezon City, causing ₱185,000 in revenue loss. We mitigated this by building weather contingencies into contracts for future Manila projects.</w:t>
      </w:r>
    </w:p>
    <w:p>
      <w:pPr>
        <w:numPr>
          <w:ilvl w:val="0"/>
          <w:numId w:val="1003"/>
        </w:numPr>
        <w:pStyle w:val="Compact"/>
      </w:pPr>
      <w:r>
        <w:rPr>
          <w:bCs/>
          <w:b/>
        </w:rPr>
        <w:t xml:space="preserve">Competition:</w:t>
      </w:r>
      <w:r>
        <w:t xml:space="preserve"> </w:t>
      </w:r>
      <w:r>
        <w:t xml:space="preserve">Price wars from unlicensed carpenters undercutting rates (</w:t>
      </w:r>
      <w:r>
        <w:rPr>
          <w:iCs/>
          <w:i/>
        </w:rPr>
        <w:t xml:space="preserve">e.g., ₱1,200/m² vs our ₱1,850/m²</w:t>
      </w:r>
      <w:r>
        <w:t xml:space="preserve">). Solution: Emphasized quality guarantees and 3-year warranties in all Manila sales pitches.</w:t>
      </w:r>
    </w:p>
    <w:p>
      <w:pPr>
        <w:numPr>
          <w:ilvl w:val="0"/>
          <w:numId w:val="1003"/>
        </w:numPr>
        <w:pStyle w:val="Compact"/>
      </w:pPr>
      <w:r>
        <w:rPr>
          <w:bCs/>
          <w:b/>
        </w:rPr>
        <w:t xml:space="preserve">Logistics:</w:t>
      </w:r>
      <w:r>
        <w:t xml:space="preserve"> </w:t>
      </w:r>
      <w:r>
        <w:t xml:space="preserve">Traffic congestion in Manila averages 4.2 hours daily during peak times, increasing site visit delays by 2.5 hours. We introduced a "Manila Project Coordinator" role to manage city-wide dispatches, reducing on-site wait times by 63%.</w:t>
      </w:r>
    </w:p>
    <w:bookmarkEnd w:id="23"/>
    <w:bookmarkStart w:id="24" w:name="X65e238a4a915327349a9042eb2ec0eb335b7284"/>
    <w:p>
      <w:pPr>
        <w:pStyle w:val="Heading2"/>
      </w:pPr>
      <w:r>
        <w:t xml:space="preserve">V. Strategic Recommendations for Manila Expansion</w:t>
      </w:r>
    </w:p>
    <w:p>
      <w:pPr>
        <w:pStyle w:val="FirstParagraph"/>
      </w:pPr>
      <w:r>
        <w:t xml:space="preserve">To sustain momentum in the Philippines Manila market, we propose:</w:t>
      </w:r>
    </w:p>
    <w:p>
      <w:pPr>
        <w:numPr>
          <w:ilvl w:val="0"/>
          <w:numId w:val="1004"/>
        </w:numPr>
        <w:pStyle w:val="Compact"/>
      </w:pPr>
      <w:r>
        <w:rPr>
          <w:bCs/>
          <w:b/>
        </w:rPr>
        <w:t xml:space="preserve">Target High-Growth Zones:</w:t>
      </w:r>
      <w:r>
        <w:t xml:space="preserve"> </w:t>
      </w:r>
      <w:r>
        <w:t xml:space="preserve">Focus on emerging areas like Marikina (post-flood rebuilding) and Parañaque (new commercial hubs), where carpentry demand is rising 41% YoY per DTI data.</w:t>
      </w:r>
    </w:p>
    <w:p>
      <w:pPr>
        <w:numPr>
          <w:ilvl w:val="0"/>
          <w:numId w:val="1004"/>
        </w:numPr>
        <w:pStyle w:val="Compact"/>
      </w:pPr>
      <w:r>
        <w:rPr>
          <w:bCs/>
          <w:b/>
        </w:rPr>
        <w:t xml:space="preserve">Develop a Manila-Specific Training Program:</w:t>
      </w:r>
      <w:r>
        <w:t xml:space="preserve"> </w:t>
      </w:r>
      <w:r>
        <w:t xml:space="preserve">Certify 10 new Carpenter apprentices via TESDA partnerships to address the city’s shortage of skilled workers (only 32% of Manila carpenters hold formal licenses).</w:t>
      </w:r>
    </w:p>
    <w:p>
      <w:pPr>
        <w:numPr>
          <w:ilvl w:val="0"/>
          <w:numId w:val="1004"/>
        </w:numPr>
        <w:pStyle w:val="Compact"/>
      </w:pPr>
      <w:r>
        <w:rPr>
          <w:bCs/>
          <w:b/>
        </w:rPr>
        <w:t xml:space="preserve">Leverage Digital Tools:</w:t>
      </w:r>
      <w:r>
        <w:t xml:space="preserve"> </w:t>
      </w:r>
      <w:r>
        <w:t xml:space="preserve">Implement *Carpenter Manila*, a mobile app for real-time project tracking and client approvals—addressing the 73% of clients who requested digital updates per our Q3 survey.</w:t>
      </w:r>
    </w:p>
    <w:bookmarkEnd w:id="24"/>
    <w:bookmarkStart w:id="25" w:name="vi.-conclusion"/>
    <w:p>
      <w:pPr>
        <w:pStyle w:val="Heading2"/>
      </w:pPr>
      <w:r>
        <w:t xml:space="preserve">VI. Conclusion</w:t>
      </w:r>
    </w:p>
    <w:p>
      <w:pPr>
        <w:pStyle w:val="FirstParagraph"/>
      </w:pPr>
      <w:r>
        <w:t xml:space="preserve">The Carpenter services division has proven indispensable to Manila’s construction economy, delivering consistent value amid the city’s dynamic growth. In a market where 68% of homeowners prioritize "craftsmanship over cost" (Philippine Construction Association, 2023), our focus on quality and cultural relevance positioned us as the preferred Carpenter partner for Manila-based clients. With strategic investments in logistics, training, and digital tools, we project Q4 2023 sales to reach ₱1.98M—driving further growth in the Philippines Manila market.</w:t>
      </w:r>
    </w:p>
    <w:p>
      <w:pPr>
        <w:pStyle w:val="BodyText"/>
      </w:pPr>
      <w:r>
        <w:rPr>
          <w:bCs/>
          <w:b/>
        </w:rPr>
        <w:t xml:space="preserve">Prepared By:</w:t>
      </w:r>
      <w:r>
        <w:t xml:space="preserve"> </w:t>
      </w:r>
      <w:r>
        <w:t xml:space="preserve">Sales &amp; Operations Team | Carpenter Services Division</w:t>
      </w:r>
      <w:r>
        <w:br/>
      </w:r>
      <w:r>
        <w:rPr>
          <w:bCs/>
          <w:b/>
        </w:rPr>
        <w:t xml:space="preserve">Contact:</w:t>
      </w:r>
      <w:r>
        <w:t xml:space="preserve"> </w:t>
      </w:r>
      <w:r>
        <w:t xml:space="preserve">Manila Office: +63 2 8765-4321 | sales@carpentermanila.ph</w:t>
      </w:r>
    </w:p>
    <w:p>
      <w:r>
        <w:pict>
          <v:rect style="width:0;height:1.5pt" o:hralign="center" o:hrstd="t" o:hr="t"/>
        </w:pict>
      </w:r>
    </w:p>
    <w:p>
      <w:pPr>
        <w:pStyle w:val="FirstParagraph"/>
      </w:pPr>
      <w:r>
        <w:t xml:space="preserve">This report is exclusively for internal use within the Carpenter Services Division. All data sourced from Manila-based project records (Q3 2023). Philippine Peso values converted at ₱57.80/USD.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Manila Carpenter Sales Report | Q3 2023</dc:title>
  <dc:creator/>
  <dc:language>en</dc:language>
  <cp:keywords/>
  <dcterms:created xsi:type="dcterms:W3CDTF">2025-12-11T00:11:59Z</dcterms:created>
  <dcterms:modified xsi:type="dcterms:W3CDTF">2025-12-11T00:11:59Z</dcterms:modified>
</cp:coreProperties>
</file>

<file path=docProps/custom.xml><?xml version="1.0" encoding="utf-8"?>
<Properties xmlns="http://schemas.openxmlformats.org/officeDocument/2006/custom-properties" xmlns:vt="http://schemas.openxmlformats.org/officeDocument/2006/docPropsVTypes"/>
</file>