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Carpenter</w:t>
      </w:r>
      <w:r>
        <w:t xml:space="preserve"> </w:t>
      </w:r>
      <w:r>
        <w:t xml:space="preserve">Operations</w:t>
      </w:r>
      <w:r>
        <w:t xml:space="preserve"> </w:t>
      </w:r>
      <w:r>
        <w:t xml:space="preserve">in</w:t>
      </w:r>
      <w:r>
        <w:t xml:space="preserve"> </w:t>
      </w:r>
      <w:r>
        <w:t xml:space="preserve">Russia</w:t>
      </w:r>
      <w:r>
        <w:t xml:space="preserve"> </w:t>
      </w:r>
      <w:r>
        <w:t xml:space="preserve">Moscow</w:t>
      </w:r>
    </w:p>
    <w:bookmarkStart w:id="28" w:name="X9896e669a493b67137f4b38bc8bef7de3f19be6"/>
    <w:p>
      <w:pPr>
        <w:pStyle w:val="Heading1"/>
      </w:pPr>
      <w:r>
        <w:t xml:space="preserve">SALES REPORT: CARPENTER OPERATIONS IN RUSSIA MOSCOW</w:t>
      </w:r>
    </w:p>
    <w:p>
      <w:pPr>
        <w:pStyle w:val="FirstParagraph"/>
      </w:pPr>
      <w:r>
        <w:rPr>
          <w:bCs/>
          <w:b/>
        </w:rPr>
        <w:t xml:space="preserve">Date:</w:t>
      </w:r>
      <w:r>
        <w:t xml:space="preserve"> </w:t>
      </w:r>
      <w:r>
        <w:t xml:space="preserve">April 15, 2023</w:t>
      </w:r>
      <w:r>
        <w:br/>
      </w:r>
      <w:r>
        <w:rPr>
          <w:bCs/>
          <w:b/>
        </w:rPr>
        <w:t xml:space="preserve">Prepared For:</w:t>
      </w:r>
      <w:r>
        <w:t xml:space="preserve"> </w:t>
      </w:r>
      <w:r>
        <w:t xml:space="preserve">Executive Management, Moscow Construction Division</w:t>
      </w:r>
      <w:r>
        <w:br/>
      </w:r>
      <w:r>
        <w:rPr>
          <w:bCs/>
          <w:b/>
        </w:rPr>
        <w:t xml:space="preserve">Prepared By:</w:t>
      </w:r>
      <w:r>
        <w:t xml:space="preserve"> </w:t>
      </w:r>
      <w:r>
        <w:t xml:space="preserve">Sales Strategy Department</w:t>
      </w:r>
    </w:p>
    <w:bookmarkStart w:id="20" w:name="executive-summary"/>
    <w:p>
      <w:pPr>
        <w:pStyle w:val="Heading2"/>
      </w:pPr>
      <w:r>
        <w:t xml:space="preserve">1. Executive Summary</w:t>
      </w:r>
    </w:p>
    <w:p>
      <w:pPr>
        <w:pStyle w:val="FirstParagraph"/>
      </w:pPr>
      <w:r>
        <w:t xml:space="preserve">This comprehensive Sales Report details the operational performance of our premier Carpenter division serving the demanding market landscape of Russia Moscow. Over the past fiscal quarter (January-March 2023), our Carpenter team achieved remarkable growth despite macroeconomic challenges, securing a 18.7% year-over-year sales increase. This report underscores how strategic localization, premium craftsmanship, and adaptive business models have positioned us as the preferred Carpenter solution for high-end residential and commercial projects across Moscow. The data confirms that our specialized approach to woodworking services within Russia's most competitive construction hub delivers exceptional ROI for clients and stakeholders alike.</w:t>
      </w:r>
    </w:p>
    <w:bookmarkEnd w:id="20"/>
    <w:bookmarkStart w:id="21" w:name="moscow-market-analysis-carpenter-demand"/>
    <w:p>
      <w:pPr>
        <w:pStyle w:val="Heading2"/>
      </w:pPr>
      <w:r>
        <w:t xml:space="preserve">2. Moscow Market Analysis &amp; Carpenter Demand</w:t>
      </w:r>
    </w:p>
    <w:p>
      <w:pPr>
        <w:pStyle w:val="FirstParagraph"/>
      </w:pPr>
      <w:r>
        <w:t xml:space="preserve">The Russia Moscow construction sector has experienced significant transformation since 2021, with a 14% annual growth in premium interior woodworking demand. This surge is driven by three critical factors: (a) rising luxury housing developments in districts like Zaryadye and Krasnaya Presnya, (b) government incentives for domestically manufactured materials under "Made in Russia" initiatives, and (c) post-pandemic consumer preference for bespoke wooden interiors. Our Carpenter division has strategically capitalized on these trends by establishing specialized workshops within 15 kilometers of central Moscow to ensure rapid deployment and quality control. Unlike competitors relying on imported timber, our local sourcing network—partnering with Russian forest management zones near Kaliningrad and Krasnodar—reduces lead times by 42% while supporting national economic goals.</w:t>
      </w:r>
    </w:p>
    <w:bookmarkEnd w:id="21"/>
    <w:bookmarkStart w:id="22" w:name="sales-performance-highlights-q1-2023"/>
    <w:p>
      <w:pPr>
        <w:pStyle w:val="Heading2"/>
      </w:pPr>
      <w:r>
        <w:t xml:space="preserve">3. Sales Performance Highlights (Q1 2023)</w:t>
      </w:r>
    </w:p>
    <w:p>
      <w:pPr>
        <w:pStyle w:val="FirstParagraph"/>
      </w:pPr>
      <w:r>
        <w:t xml:space="preserve">Key Metric</w:t>
      </w:r>
    </w:p>
    <w:p>
      <w:pPr>
        <w:pStyle w:val="BodyText"/>
      </w:pPr>
      <w:r>
        <w:t xml:space="preserve">Q1 2023</w:t>
      </w:r>
    </w:p>
    <w:p>
      <w:pPr>
        <w:pStyle w:val="BodyText"/>
      </w:pPr>
      <w:r>
        <w:t xml:space="preserve">Q1 2022</w:t>
      </w:r>
    </w:p>
    <w:p>
      <w:pPr>
        <w:pStyle w:val="BodyText"/>
      </w:pPr>
      <w:r>
        <w:t xml:space="preserve">YoY Change</w:t>
      </w:r>
    </w:p>
    <w:p>
      <w:pPr>
        <w:pStyle w:val="BodyText"/>
      </w:pPr>
      <w:r>
        <w:t xml:space="preserve">Total Sales Revenue (RUB)</w:t>
      </w:r>
    </w:p>
    <w:p>
      <w:pPr>
        <w:pStyle w:val="BodyText"/>
      </w:pPr>
      <w:r>
        <w:t xml:space="preserve">48,650,000</w:t>
      </w:r>
    </w:p>
    <w:p>
      <w:pPr>
        <w:pStyle w:val="BodyText"/>
      </w:pPr>
      <w:r>
        <w:t xml:space="preserve">41,025,000</w:t>
      </w:r>
    </w:p>
    <w:p>
      <w:pPr>
        <w:pStyle w:val="BodyText"/>
      </w:pPr>
      <w:r>
        <w:t xml:space="preserve">+18.7%</w:t>
      </w:r>
    </w:p>
    <w:p>
      <w:pPr>
        <w:pStyle w:val="BodyText"/>
      </w:pPr>
      <w:r>
        <w:t xml:space="preserve">Project Units Delivered</w:t>
      </w:r>
    </w:p>
    <w:p>
      <w:pPr>
        <w:pStyle w:val="BodyText"/>
      </w:pPr>
      <w:r>
        <w:t xml:space="preserve">387</w:t>
      </w:r>
    </w:p>
    <w:p>
      <w:pPr>
        <w:pStyle w:val="BodyText"/>
      </w:pPr>
      <w:r>
        <w:t xml:space="preserve">319</w:t>
      </w:r>
    </w:p>
    <w:p>
      <w:pPr>
        <w:pStyle w:val="BodyText"/>
      </w:pPr>
      <w:r>
        <w:t xml:space="preserve">+21.3%</w:t>
      </w:r>
    </w:p>
    <w:p>
      <w:pPr>
        <w:pStyle w:val="BodyText"/>
      </w:pPr>
      <w:r>
        <w:t xml:space="preserve">Avg. Project Value (RUB)</w:t>
      </w:r>
    </w:p>
    <w:p>
      <w:pPr>
        <w:pStyle w:val="BodyText"/>
      </w:pPr>
      <w:r>
        <w:t xml:space="preserve">125,700</w:t>
      </w:r>
    </w:p>
    <w:p>
      <w:pPr>
        <w:pStyle w:val="BodyText"/>
      </w:pPr>
      <w:r>
        <w:t xml:space="preserve">128,600</w:t>
      </w:r>
    </w:p>
    <w:p>
      <w:pPr>
        <w:pStyle w:val="BodyText"/>
      </w:pPr>
      <w:r>
        <w:t xml:space="preserve">New Client Acquisition</w:t>
      </w:r>
    </w:p>
    <w:p>
      <w:pPr>
        <w:pStyle w:val="BodyText"/>
      </w:pPr>
      <w:r>
        <w:t xml:space="preserve">43</w:t>
      </w:r>
    </w:p>
    <w:p>
      <w:pPr>
        <w:pStyle w:val="BodyText"/>
      </w:pPr>
      <w:r>
        <w:t xml:space="preserve">31</w:t>
      </w:r>
    </w:p>
    <w:p>
      <w:pPr>
        <w:pStyle w:val="BodyText"/>
      </w:pPr>
      <w:r>
        <w:t xml:space="preserve">The Carpenter division's success stems from our Moscow-specific sales strategy: We deployed mobile consultation teams to major construction sites (e.g., Moscow City complex, Tverskoy District renovations) and implemented a Russian-language CRM system with integrated payment gateways (Sberbank, Tinkoff). Notably, 68% of new clients were secured through referrals from high-profile projects like the "Moscow Modern" luxury apartment conversion—proving that our Carpenter reputation drives organic growth in this competitive market.</w:t>
      </w:r>
    </w:p>
    <w:bookmarkEnd w:id="22"/>
    <w:bookmarkStart w:id="23" w:name="Xdbc9f978d0c85a2abda585ac830581d3be0c256"/>
    <w:p>
      <w:pPr>
        <w:pStyle w:val="Heading2"/>
      </w:pPr>
      <w:r>
        <w:t xml:space="preserve">4. Product &amp; Service Innovation for Russia Moscow</w:t>
      </w:r>
    </w:p>
    <w:p>
      <w:pPr>
        <w:pStyle w:val="FirstParagraph"/>
      </w:pPr>
      <w:r>
        <w:t xml:space="preserve">Our Carpenter division has innovated beyond traditional woodworking to meet Moscow's unique climate and aesthetic demands. Key developments include:</w:t>
      </w:r>
    </w:p>
    <w:p>
      <w:pPr>
        <w:numPr>
          <w:ilvl w:val="0"/>
          <w:numId w:val="1001"/>
        </w:numPr>
        <w:pStyle w:val="Compact"/>
      </w:pPr>
      <w:r>
        <w:rPr>
          <w:bCs/>
          <w:b/>
        </w:rPr>
        <w:t xml:space="preserve">Climate-Adapted Timber Treatments:</w:t>
      </w:r>
      <w:r>
        <w:t xml:space="preserve"> </w:t>
      </w:r>
      <w:r>
        <w:t xml:space="preserve">Patented anti-moisture coating (developed with Moscow State University scientists) for Siberian pine—critical for Moscow's -15°C winters and high-humidity periods</w:t>
      </w:r>
    </w:p>
    <w:p>
      <w:pPr>
        <w:numPr>
          <w:ilvl w:val="0"/>
          <w:numId w:val="1001"/>
        </w:numPr>
        <w:pStyle w:val="Compact"/>
      </w:pPr>
      <w:r>
        <w:rPr>
          <w:bCs/>
          <w:b/>
        </w:rPr>
        <w:t xml:space="preserve">Custom Staircase Solutions:</w:t>
      </w:r>
      <w:r>
        <w:t xml:space="preserve"> </w:t>
      </w:r>
      <w:r>
        <w:t xml:space="preserve">37% of projects included bespoke wooden staircases, exceeding regional industry averages by 29% due to our "Design-Builder Partnership" model where Carpenter specialists collaborate with architects during planning</w:t>
      </w:r>
    </w:p>
    <w:p>
      <w:pPr>
        <w:numPr>
          <w:ilvl w:val="0"/>
          <w:numId w:val="1001"/>
        </w:numPr>
        <w:pStyle w:val="Compact"/>
      </w:pPr>
      <w:r>
        <w:rPr>
          <w:bCs/>
          <w:b/>
        </w:rPr>
        <w:t xml:space="preserve">Sustainability Compliance:</w:t>
      </w:r>
      <w:r>
        <w:t xml:space="preserve"> </w:t>
      </w:r>
      <w:r>
        <w:t xml:space="preserve">All materials now carry FSC certification for Russian forests, aligning with Moscow's 2030 Green Building Charter—this attracted premium clients like Lendlease and Khoroshevo Development</w:t>
      </w:r>
    </w:p>
    <w:bookmarkEnd w:id="23"/>
    <w:bookmarkStart w:id="24" w:name="customer-feedback-market-validation"/>
    <w:p>
      <w:pPr>
        <w:pStyle w:val="Heading2"/>
      </w:pPr>
      <w:r>
        <w:t xml:space="preserve">5. Customer Feedback &amp; Market Validation</w:t>
      </w:r>
    </w:p>
    <w:p>
      <w:pPr>
        <w:pStyle w:val="FirstParagraph"/>
      </w:pPr>
      <w:r>
        <w:t xml:space="preserve">Cross-referencing sales data with client satisfaction surveys (n=197), we found an 89% Net Promoter Score in Moscow—a figure 15 points above regional competitors. One major client, VTB Bank's Moscow HQ renovation team, noted: "Their Carpenter unit delivered a custom oak boardroom in 22 days versus the industry standard of 43 days. The local expertise and Russian timber sourcing were decisive for our project timeline." This feedback directly correlates with our sales growth trajectory as Moscow developers prioritize reliability over cost savings.</w:t>
      </w:r>
    </w:p>
    <w:bookmarkEnd w:id="24"/>
    <w:bookmarkStart w:id="25" w:name="challenges-adaptive-strategies"/>
    <w:p>
      <w:pPr>
        <w:pStyle w:val="Heading2"/>
      </w:pPr>
      <w:r>
        <w:t xml:space="preserve">6. Challenges &amp; Adaptive Strategies</w:t>
      </w:r>
    </w:p>
    <w:p>
      <w:pPr>
        <w:pStyle w:val="FirstParagraph"/>
      </w:pPr>
      <w:r>
        <w:t xml:space="preserve">Despite growth, we faced three significant hurdles in Russia Moscow:</w:t>
      </w:r>
    </w:p>
    <w:p>
      <w:pPr>
        <w:numPr>
          <w:ilvl w:val="0"/>
          <w:numId w:val="1002"/>
        </w:numPr>
        <w:pStyle w:val="Compact"/>
      </w:pPr>
      <w:r>
        <w:rPr>
          <w:bCs/>
          <w:b/>
        </w:rPr>
        <w:t xml:space="preserve">Logistics Disruptions:</w:t>
      </w:r>
      <w:r>
        <w:t xml:space="preserve"> </w:t>
      </w:r>
      <w:r>
        <w:t xml:space="preserve">Reduced freight capacity from Baltic ports impacted raw material imports. *Adaptation:* Shifted to 100% domestic timber sourcing via our new Siberian supplier alliance, cutting supply chain risk by 73%</w:t>
      </w:r>
    </w:p>
    <w:p>
      <w:pPr>
        <w:numPr>
          <w:ilvl w:val="0"/>
          <w:numId w:val="1002"/>
        </w:numPr>
        <w:pStyle w:val="Compact"/>
      </w:pPr>
      <w:r>
        <w:rPr>
          <w:bCs/>
          <w:b/>
        </w:rPr>
        <w:t xml:space="preserve">Seasonal Demand Fluctuations:</w:t>
      </w:r>
      <w:r>
        <w:t xml:space="preserve"> </w:t>
      </w:r>
      <w:r>
        <w:t xml:space="preserve">Winter slowdowns historically reduced Q4 sales by 22%. *Adaptation:* Launched "Winter Craft" promotion featuring indoor cabinetry for residential projects, converting 63% of winter lulls into revenue opportunities</w:t>
      </w:r>
    </w:p>
    <w:p>
      <w:pPr>
        <w:numPr>
          <w:ilvl w:val="0"/>
          <w:numId w:val="1002"/>
        </w:numPr>
        <w:pStyle w:val="Compact"/>
      </w:pPr>
      <w:r>
        <w:rPr>
          <w:bCs/>
          <w:b/>
        </w:rPr>
        <w:t xml:space="preserve">Cultural Nuances:</w:t>
      </w:r>
      <w:r>
        <w:t xml:space="preserve"> </w:t>
      </w:r>
      <w:r>
        <w:t xml:space="preserve">Initial client hesitation toward custom designs. *Adaptation:* Implemented Moscow-focused design workshops with local stylists, increasing customization uptake by 38%</w:t>
      </w:r>
    </w:p>
    <w:bookmarkEnd w:id="25"/>
    <w:bookmarkStart w:id="26" w:name="strategic-roadmap-for-russia-moscow"/>
    <w:p>
      <w:pPr>
        <w:pStyle w:val="Heading2"/>
      </w:pPr>
      <w:r>
        <w:t xml:space="preserve">7. Strategic Roadmap for Russia Moscow</w:t>
      </w:r>
    </w:p>
    <w:p>
      <w:pPr>
        <w:pStyle w:val="FirstParagraph"/>
      </w:pPr>
      <w:r>
        <w:t xml:space="preserve">Building on Q1 success, we propose three initiatives to dominate the Carpenter market in Russia:</w:t>
      </w:r>
    </w:p>
    <w:p>
      <w:pPr>
        <w:numPr>
          <w:ilvl w:val="0"/>
          <w:numId w:val="1003"/>
        </w:numPr>
        <w:pStyle w:val="Compact"/>
      </w:pPr>
      <w:r>
        <w:rPr>
          <w:bCs/>
          <w:b/>
        </w:rPr>
        <w:t xml:space="preserve">Expansion of "Moscow Craft Hubs":</w:t>
      </w:r>
      <w:r>
        <w:t xml:space="preserve"> </w:t>
      </w:r>
      <w:r>
        <w:t xml:space="preserve">Establish two satellite workshops within Moscow (in Savyolovskaya and Novokosino districts) by Q3 2023 to reduce response times below 48 hours for urgent projects</w:t>
      </w:r>
    </w:p>
    <w:p>
      <w:pPr>
        <w:numPr>
          <w:ilvl w:val="0"/>
          <w:numId w:val="1003"/>
        </w:numPr>
        <w:pStyle w:val="Compact"/>
      </w:pPr>
      <w:r>
        <w:rPr>
          <w:bCs/>
          <w:b/>
        </w:rPr>
        <w:t xml:space="preserve">Premium Contractor Network:</w:t>
      </w:r>
      <w:r>
        <w:t xml:space="preserve"> </w:t>
      </w:r>
      <w:r>
        <w:t xml:space="preserve">Certify 15+ local construction firms as "Carpenter Preferred Partners" to leverage their client base—targeting 30% new sales through this channel by Q4</w:t>
      </w:r>
    </w:p>
    <w:p>
      <w:pPr>
        <w:numPr>
          <w:ilvl w:val="0"/>
          <w:numId w:val="1003"/>
        </w:numPr>
        <w:pStyle w:val="Compact"/>
      </w:pPr>
      <w:r>
        <w:rPr>
          <w:bCs/>
          <w:b/>
        </w:rPr>
        <w:t xml:space="preserve">Digital Transformation:</w:t>
      </w:r>
      <w:r>
        <w:t xml:space="preserve"> </w:t>
      </w:r>
      <w:r>
        <w:t xml:space="preserve">Launch a Russian-language AR app allowing clients to visualize custom carpentry in their Moscow apartments pre-purchase (beta testing begins May 2023)</w:t>
      </w:r>
    </w:p>
    <w:bookmarkEnd w:id="26"/>
    <w:bookmarkStart w:id="27" w:name="conclusion"/>
    <w:p>
      <w:pPr>
        <w:pStyle w:val="Heading2"/>
      </w:pPr>
      <w:r>
        <w:t xml:space="preserve">8. Conclusion</w:t>
      </w:r>
    </w:p>
    <w:p>
      <w:pPr>
        <w:pStyle w:val="FirstParagraph"/>
      </w:pPr>
      <w:r>
        <w:t xml:space="preserve">This Sales Report confirms that our Carpenter division has evolved from a service provider to a strategic growth driver within Russia Moscow's construction ecosystem. By embedding ourselves into Moscow's economic fabric through localized operations, climate-responsive innovation, and customer-centric delivery models, we've achieved sustainable market leadership. The 18.7% sales growth in Q1 2023 demonstrates that specialized woodworking expertise—tailored to the unique demands of Russia Moscow—is not merely competitive but essential for premium construction success. As we advance into 2023, our Carpenter team will remain laser-focused on transforming every project into a testament of Russian craftsmanship while driving measurable revenue for our organization across all Moscow districts.</w:t>
      </w:r>
    </w:p>
    <w:p>
      <w:pPr>
        <w:pStyle w:val="BodyText"/>
      </w:pPr>
      <w:r>
        <w:t xml:space="preserve">"In Russia Moscow, where every beam tells a story, our Carpenter division doesn't just build—We craft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Carpenter Operations in Russia Moscow</dc:title>
  <dc:creator/>
  <dc:language>en</dc:language>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