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w:t>
      </w:r>
      <w:r>
        <w:t xml:space="preserve"> </w:t>
      </w:r>
      <w:r>
        <w:t xml:space="preserve">Petersburg</w:t>
      </w:r>
      <w:r>
        <w:t xml:space="preserve"> </w:t>
      </w:r>
      <w:r>
        <w:t xml:space="preserve">Carpenter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9" w:name="X888860462e19a50108d3d93072e5394c55cfa7b"/>
    <w:p>
      <w:pPr>
        <w:pStyle w:val="Heading1"/>
      </w:pPr>
      <w:r>
        <w:t xml:space="preserve">Comprehensive Sales Report: Premium Carpenter Services in Russia Saint Petersburg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our premium carpentry services across Russia Saint Petersburg during Q3 2023. As the leading independent Carpenter in St. Petersburg's construction and renovation sector, we achieved a remarkable 18% year-over-year sales growth, securing €1.45 million in revenue against a €1.23 million target. The report confirms that our specialized approach to bespoke wooden solutions has become indispensable for both residential developers and high-end interior designers operating within Russia Saint Petersburg's demanding architectural landscape.</w:t>
      </w:r>
    </w:p>
    <w:bookmarkEnd w:id="20"/>
    <w:bookmarkStart w:id="21" w:name="X6f82bb531cd02b5195fa1d6b56c05bcd0c093c8"/>
    <w:p>
      <w:pPr>
        <w:pStyle w:val="Heading2"/>
      </w:pPr>
      <w:r>
        <w:t xml:space="preserve">Market Context: St. Petersburg's Unique Carpentry Demand</w:t>
      </w:r>
    </w:p>
    <w:p>
      <w:pPr>
        <w:pStyle w:val="FirstParagraph"/>
      </w:pPr>
      <w:r>
        <w:t xml:space="preserve">St. Petersburg, Russia remains a city of architectural significance where historical preservation meets modern luxury development. This dual demand creates specialized opportunities for a skilled Carpenter operating in this market. Our analysis confirms that 78% of our clients in Russia Saint Petersburg require custom wood solutions—ranging from authentic Neoclassical moldings for heritage properties to minimalist Scandinavian-style installations for new luxury apartments. The city's stringent building codes (particularly regarding fire safety and historic district renovations) have elevated the Carpenter's role from mere craftsman to essential compliance partner.</w:t>
      </w:r>
    </w:p>
    <w:bookmarkEnd w:id="21"/>
    <w:bookmarkStart w:id="23" w:name="q3-sales-performance-breakdown"/>
    <w:p>
      <w:pPr>
        <w:pStyle w:val="Heading2"/>
      </w:pPr>
      <w:r>
        <w:t xml:space="preserve">Q3 Sales Performance Breakdown</w:t>
      </w:r>
    </w:p>
    <w:p>
      <w:pPr>
        <w:pStyle w:val="FirstParagraph"/>
      </w:pPr>
      <w:r>
        <w:t xml:space="preserve">Service Category</w:t>
      </w:r>
    </w:p>
    <w:p>
      <w:pPr>
        <w:pStyle w:val="BodyText"/>
      </w:pPr>
      <w:r>
        <w:t xml:space="preserve">Revenue (€)</w:t>
      </w:r>
    </w:p>
    <w:p>
      <w:pPr>
        <w:pStyle w:val="BodyText"/>
      </w:pPr>
      <w:r>
        <w:t xml:space="preserve">% of Total Revenue</w:t>
      </w:r>
    </w:p>
    <w:p>
      <w:pPr>
        <w:pStyle w:val="BodyText"/>
      </w:pPr>
      <w:r>
        <w:t xml:space="preserve">Growth vs Q2 2023</w:t>
      </w:r>
    </w:p>
    <w:p>
      <w:pPr>
        <w:pStyle w:val="BodyText"/>
      </w:pPr>
      <w:r>
        <w:t xml:space="preserve">Residential Renovation (High-End)</w:t>
      </w:r>
    </w:p>
    <w:p>
      <w:pPr>
        <w:pStyle w:val="BodyText"/>
      </w:pPr>
      <w:r>
        <w:t xml:space="preserve">685,000</w:t>
      </w:r>
    </w:p>
    <w:p>
      <w:pPr>
        <w:pStyle w:val="BodyText"/>
      </w:pPr>
      <w:r>
        <w:t xml:space="preserve">47.2%</w:t>
      </w:r>
    </w:p>
    <w:p>
      <w:pPr>
        <w:pStyle w:val="BodyText"/>
      </w:pPr>
      <w:r>
        <w:t xml:space="preserve">+15.3%</w:t>
      </w:r>
    </w:p>
    <w:p>
      <w:pPr>
        <w:pStyle w:val="BodyText"/>
      </w:pPr>
      <w:r>
        <w:t xml:space="preserve">Historic Building Restoration</w:t>
      </w:r>
    </w:p>
    <w:p>
      <w:pPr>
        <w:pStyle w:val="BodyText"/>
      </w:pPr>
      <w:r>
        <w:t xml:space="preserve">420,000</w:t>
      </w:r>
    </w:p>
    <w:p>
      <w:pPr>
        <w:pStyle w:val="BodyText"/>
      </w:pPr>
      <w:r>
        <w:br/>
      </w:r>
      <w:r>
        <w:br/>
      </w:r>
    </w:p>
    <w:p>
      <w:pPr>
        <w:pStyle w:val="BodyText"/>
      </w:pPr>
      <w:r>
        <w:t xml:space="preserve">Carpenter in Russia Saint Petersburg: We've established strategic partnerships with 17 of St. Petersburg's top 25 architectural firms, including renowned firms like "St. Petersburg Heritage" and "Leningrad Craftsmen." This network has been instrumental in securing projects requiring intricate woodwork for UNESCO-listed properties on Vasilievsky Island and Nevsky Prospekt.</w:t>
      </w:r>
    </w:p>
    <w:bookmarkStart w:id="22" w:name="key-success-factors"/>
    <w:p>
      <w:pPr>
        <w:pStyle w:val="Heading3"/>
      </w:pPr>
      <w:r>
        <w:t xml:space="preserve">Key Success Factors</w:t>
      </w:r>
    </w:p>
    <w:p>
      <w:pPr>
        <w:numPr>
          <w:ilvl w:val="0"/>
          <w:numId w:val="1001"/>
        </w:numPr>
        <w:pStyle w:val="Compact"/>
      </w:pPr>
      <w:r>
        <w:rPr>
          <w:bCs/>
          <w:b/>
        </w:rPr>
        <w:t xml:space="preserve">Local Material Sourcing:</w:t>
      </w:r>
      <w:r>
        <w:t xml:space="preserve"> </w:t>
      </w:r>
      <w:r>
        <w:t xml:space="preserve">Our exclusive partnership with Karelian timber suppliers (400km from St. Petersburg) ensures rapid delivery of Class A Baltic pine, eliminating the 12-15 day import delays plaguing competitors in Russia Saint Petersburg.</w:t>
      </w:r>
    </w:p>
    <w:p>
      <w:pPr>
        <w:numPr>
          <w:ilvl w:val="0"/>
          <w:numId w:val="1001"/>
        </w:numPr>
        <w:pStyle w:val="Compact"/>
      </w:pPr>
      <w:r>
        <w:rPr>
          <w:bCs/>
          <w:b/>
        </w:rPr>
        <w:t xml:space="preserve">Cultural Expertise:</w:t>
      </w:r>
      <w:r>
        <w:t xml:space="preserve"> </w:t>
      </w:r>
      <w:r>
        <w:t xml:space="preserve">Our team's certification in Russian Historical Preservation Standards (RHP-2023) allows us to navigate bureaucratic hurdles for renovations in St. Petersburg's 4,300 protected buildings.</w:t>
      </w:r>
    </w:p>
    <w:p>
      <w:pPr>
        <w:numPr>
          <w:ilvl w:val="0"/>
          <w:numId w:val="1001"/>
        </w:numPr>
        <w:pStyle w:val="Compact"/>
      </w:pPr>
      <w:r>
        <w:rPr>
          <w:bCs/>
          <w:b/>
        </w:rPr>
        <w:t xml:space="preserve">Technology Integration:</w:t>
      </w:r>
      <w:r>
        <w:t xml:space="preserve"> </w:t>
      </w:r>
      <w:r>
        <w:t xml:space="preserve">BIM modeling for custom carpentry solutions has reduced project timelines by 32% for clients like "Kronverk Development" on their new Saint Isaac's Square residences.</w:t>
      </w:r>
    </w:p>
    <w:bookmarkEnd w:id="22"/>
    <w:bookmarkEnd w:id="23"/>
    <w:bookmarkStart w:id="24" w:name="client-satisfaction-metrics"/>
    <w:p>
      <w:pPr>
        <w:pStyle w:val="Heading2"/>
      </w:pPr>
      <w:r>
        <w:t xml:space="preserve">Client Satisfaction Metrics</w:t>
      </w:r>
    </w:p>
    <w:p>
      <w:pPr>
        <w:pStyle w:val="FirstParagraph"/>
      </w:pPr>
      <w:r>
        <w:t xml:space="preserve">Our NPS (Net Promoter Score) in Russia Saint Petersburg reached 89 in Q3, significantly above the industry average of 64. Key drivers include:</w:t>
      </w:r>
    </w:p>
    <w:p>
      <w:pPr>
        <w:numPr>
          <w:ilvl w:val="0"/>
          <w:numId w:val="1002"/>
        </w:numPr>
        <w:pStyle w:val="Compact"/>
      </w:pPr>
      <w:r>
        <w:t xml:space="preserve">100% on-time delivery for all St. Petersburg projects (vs industry 72%)</w:t>
      </w:r>
    </w:p>
    <w:p>
      <w:pPr>
        <w:numPr>
          <w:ilvl w:val="0"/>
          <w:numId w:val="1002"/>
        </w:numPr>
        <w:pStyle w:val="Compact"/>
      </w:pPr>
      <w:r>
        <w:t xml:space="preserve">93% repeat business from premium residential clients</w:t>
      </w:r>
    </w:p>
    <w:p>
      <w:pPr>
        <w:numPr>
          <w:ilvl w:val="0"/>
          <w:numId w:val="1002"/>
        </w:numPr>
        <w:pStyle w:val="Compact"/>
      </w:pPr>
      <w:r>
        <w:t xml:space="preserve">Zero compliance violations in historical districts since Q1 2023</w:t>
      </w:r>
    </w:p>
    <w:bookmarkEnd w:id="24"/>
    <w:bookmarkStart w:id="25" w:name="challenges-strategic-responses"/>
    <w:p>
      <w:pPr>
        <w:pStyle w:val="Heading2"/>
      </w:pPr>
      <w:r>
        <w:t xml:space="preserve">Challenges &amp; Strategic Responses</w:t>
      </w:r>
    </w:p>
    <w:p>
      <w:pPr>
        <w:pStyle w:val="FirstParagraph"/>
      </w:pPr>
      <w:r>
        <w:rPr>
          <w:bCs/>
          <w:b/>
        </w:rPr>
        <w:t xml:space="preserve">Rising Material Costs:</w:t>
      </w:r>
      <w:r>
        <w:t xml:space="preserve"> </w:t>
      </w:r>
      <w:r>
        <w:t xml:space="preserve">Global timber price volatility impacted our margins by 8.5%. Our solution: We implemented a fixed-price contract model with clients, locking in rates using long-term supplier agreements from the Kola Peninsula.</w:t>
      </w:r>
    </w:p>
    <w:p>
      <w:pPr>
        <w:pStyle w:val="BodyText"/>
      </w:pPr>
      <w:r>
        <w:rPr>
          <w:bCs/>
          <w:b/>
        </w:rPr>
        <w:t xml:space="preserve">Competition Pressure:</w:t>
      </w:r>
      <w:r>
        <w:t xml:space="preserve"> </w:t>
      </w:r>
      <w:r>
        <w:t xml:space="preserve">New "one-stop" construction firms entered St. Petersburg's market, offering bundled services. Our Carpenter strategy: We doubled down on specialization—certifying all staff in Russian wood technology standards to deliver quality no competitor matches.</w:t>
      </w:r>
    </w:p>
    <w:p>
      <w:pPr>
        <w:pStyle w:val="BodyText"/>
      </w:pPr>
      <w:r>
        <w:rPr>
          <w:bCs/>
          <w:b/>
        </w:rPr>
        <w:t xml:space="preserve">Logistics Constraints:</w:t>
      </w:r>
      <w:r>
        <w:t xml:space="preserve"> </w:t>
      </w:r>
      <w:r>
        <w:t xml:space="preserve">Winterization of St. Petersburg roads caused 3 delivery delays (0.8% of total projects). Our response: Established a dedicated St. Petersburg-based logistics hub with heated transport for critical projects during December-April.</w:t>
      </w:r>
    </w:p>
    <w:bookmarkEnd w:id="25"/>
    <w:bookmarkStart w:id="26" w:name="Xdc7f96ce7cb5bfd17dfcb1b4614543f38f54d40"/>
    <w:p>
      <w:pPr>
        <w:pStyle w:val="Heading2"/>
      </w:pPr>
      <w:r>
        <w:t xml:space="preserve">Growth Opportunities in Russia Saint Petersburg</w:t>
      </w:r>
    </w:p>
    <w:p>
      <w:pPr>
        <w:pStyle w:val="FirstParagraph"/>
      </w:pPr>
      <w:r>
        <w:t xml:space="preserve">Based on market intelligence, we've identified three high-potential growth vectors:</w:t>
      </w:r>
    </w:p>
    <w:p>
      <w:pPr>
        <w:numPr>
          <w:ilvl w:val="0"/>
          <w:numId w:val="1003"/>
        </w:numPr>
        <w:pStyle w:val="Compact"/>
      </w:pPr>
      <w:r>
        <w:rPr>
          <w:bCs/>
          <w:b/>
        </w:rPr>
        <w:t xml:space="preserve">Housing Renovation Boom:</w:t>
      </w:r>
      <w:r>
        <w:t xml:space="preserve"> </w:t>
      </w:r>
      <w:r>
        <w:t xml:space="preserve">St. Petersburg's 56,000 new luxury apartments under construction (2023-2025) require custom carpentry. We secured contracts for 14 of these projects totaling €895,000.</w:t>
      </w:r>
    </w:p>
    <w:p>
      <w:pPr>
        <w:numPr>
          <w:ilvl w:val="0"/>
          <w:numId w:val="1003"/>
        </w:numPr>
        <w:pStyle w:val="Compact"/>
      </w:pPr>
      <w:r>
        <w:rPr>
          <w:bCs/>
          <w:b/>
        </w:rPr>
        <w:t xml:space="preserve">Government Restoration Contracts:</w:t>
      </w:r>
      <w:r>
        <w:t xml:space="preserve"> </w:t>
      </w:r>
      <w:r>
        <w:t xml:space="preserve">The Saint Petersburg Department of Culture's €4.7M restoration fund has allocated 38% to woodwork. Our Carpenter team submitted proposals for the Hermitage Museum's 19th-century gallery renovation.</w:t>
      </w:r>
    </w:p>
    <w:p>
      <w:pPr>
        <w:numPr>
          <w:ilvl w:val="0"/>
          <w:numId w:val="1003"/>
        </w:numPr>
        <w:pStyle w:val="Compact"/>
      </w:pPr>
      <w:r>
        <w:rPr>
          <w:bCs/>
          <w:b/>
        </w:rPr>
        <w:t xml:space="preserve">Interior Design Partnerships:</w:t>
      </w:r>
      <w:r>
        <w:t xml:space="preserve"> </w:t>
      </w:r>
      <w:r>
        <w:t xml:space="preserve">Collaborating with St. Petersburg's top designers (e.g., "Villa Studio" and "ArchiWood") has increased our project pipeline by 27% since Q1.</w:t>
      </w:r>
    </w:p>
    <w:bookmarkEnd w:id="26"/>
    <w:bookmarkStart w:id="27" w:name="financial-outlook-q4-2023-beyond"/>
    <w:p>
      <w:pPr>
        <w:pStyle w:val="Heading2"/>
      </w:pPr>
      <w:r>
        <w:t xml:space="preserve">Financial Outlook: Q4 2023 &amp; Beyond</w:t>
      </w:r>
    </w:p>
    <w:p>
      <w:pPr>
        <w:pStyle w:val="FirstParagraph"/>
      </w:pPr>
      <w:r>
        <w:t xml:space="preserve">We project €1.68M revenue for Q4 (a 15.9% increase over Q3) driven by the Hermitage Museum contract and new luxury developments. Our goal is to capture 35% of St. Petersburg's high-end carpentry market by Q2 2024—up from our current 28%. Critical success factors include:</w:t>
      </w:r>
    </w:p>
    <w:p>
      <w:pPr>
        <w:numPr>
          <w:ilvl w:val="0"/>
          <w:numId w:val="1004"/>
        </w:numPr>
        <w:pStyle w:val="Compact"/>
      </w:pPr>
      <w:r>
        <w:t xml:space="preserve">Expanding our Saint Petersburg workshop capacity by 40%</w:t>
      </w:r>
    </w:p>
    <w:p>
      <w:pPr>
        <w:numPr>
          <w:ilvl w:val="0"/>
          <w:numId w:val="1004"/>
        </w:numPr>
        <w:pStyle w:val="Compact"/>
      </w:pPr>
      <w:r>
        <w:t xml:space="preserve">Introducing Russian-made wood preservatives compliant with St. Petersburg's environmental standards</w:t>
      </w:r>
    </w:p>
    <w:p>
      <w:pPr>
        <w:numPr>
          <w:ilvl w:val="0"/>
          <w:numId w:val="1004"/>
        </w:numPr>
        <w:pStyle w:val="Compact"/>
      </w:pPr>
      <w:r>
        <w:t xml:space="preserve">Hosting quarterly "Woodcraft Masterclasses" for local architects at our new St. Petersburg training facility</w:t>
      </w:r>
    </w:p>
    <w:bookmarkEnd w:id="27"/>
    <w:bookmarkStart w:id="28" w:name="Xb4ef1404035e14db48754cddbdbe0054e2517d4"/>
    <w:p>
      <w:pPr>
        <w:pStyle w:val="Heading2"/>
      </w:pPr>
      <w:r>
        <w:t xml:space="preserve">Conclusion: The Carpenter as Strategic Asset in Russia Saint Petersburg</w:t>
      </w:r>
    </w:p>
    <w:p>
      <w:pPr>
        <w:pStyle w:val="FirstParagraph"/>
      </w:pPr>
      <w:r>
        <w:t xml:space="preserve">This Sales Report unequivocally demonstrates that a specialized, locally integrated Carpenter is no longer optional in the Russia Saint Petersburg market—it's a business imperative. Our success stems from understanding that St. Petersburg doesn't just need woodwork; it needs heritage-aware, code-compliant craftsmanship delivered within the city's unique operational constraints.</w:t>
      </w:r>
    </w:p>
    <w:p>
      <w:pPr>
        <w:pStyle w:val="BodyText"/>
      </w:pPr>
      <w:r>
        <w:t xml:space="preserve">As we move toward 2024, our focus remains on deepening our position as the Carpenter of choice for Saint Petersburg's most demanding architectural challenges. Every project—from restoring a 19th-century palace to building a contemporary glass-and-wood residence along the Neva River—reinforces our commitment to excellence in Russia Saint Petersburg's evolving urban fabric. We are confident that by maintaining this specialization while expanding our local infrastructure, we will continue setting the benchmark for carpentry services in one of Europe's most architecturally significant cities.</w:t>
      </w:r>
    </w:p>
    <w:p>
      <w:pPr>
        <w:pStyle w:val="BodyText"/>
      </w:pPr>
      <w:r>
        <w:rPr>
          <w:bCs/>
          <w:b/>
        </w:rPr>
        <w:t xml:space="preserve">Prepared By:</w:t>
      </w:r>
      <w:r>
        <w:t xml:space="preserve"> </w:t>
      </w:r>
      <w:r>
        <w:t xml:space="preserve">St. Petersburg Operations Team</w:t>
      </w:r>
      <w:r>
        <w:br/>
      </w:r>
      <w:r>
        <w:rPr>
          <w:bCs/>
          <w:b/>
        </w:rPr>
        <w:t xml:space="preserve">Carpenter Services Division</w:t>
      </w:r>
    </w:p>
    <w:p>
      <w:r>
        <w:pict>
          <v:rect style="width:0;height:1.5pt" o:hralign="center" o:hrstd="t" o:hr="t"/>
        </w:pict>
      </w:r>
    </w:p>
    <w:p>
      <w:pPr>
        <w:pStyle w:val="FirstParagraph"/>
      </w:pPr>
      <w:r>
        <w:rPr>
          <w:iCs/>
          <w:i/>
        </w:rPr>
        <w:t xml:space="preserve">This Sales Report is confidential and intended solely for internal use by Carpenter Services Management. Distribution outside authorized personnel is prohibited.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Petersburg Carpenter Sales Report - Q3 2023</dc:title>
  <dc:creator/>
  <dc:language>en</dc:language>
  <cp:keywords/>
  <dcterms:created xsi:type="dcterms:W3CDTF">2025-12-11T16:20:08Z</dcterms:created>
  <dcterms:modified xsi:type="dcterms:W3CDTF">2025-12-11T16:20:08Z</dcterms:modified>
</cp:coreProperties>
</file>

<file path=docProps/custom.xml><?xml version="1.0" encoding="utf-8"?>
<Properties xmlns="http://schemas.openxmlformats.org/officeDocument/2006/custom-properties" xmlns:vt="http://schemas.openxmlformats.org/officeDocument/2006/docPropsVTypes"/>
</file>