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Carpenter</w:t>
      </w:r>
      <w:r>
        <w:t xml:space="preserve"> </w:t>
      </w:r>
      <w:r>
        <w:t xml:space="preserve">Sales</w:t>
      </w:r>
      <w:r>
        <w:t xml:space="preserve"> </w:t>
      </w:r>
      <w:r>
        <w:t xml:space="preserve">Report</w:t>
      </w:r>
    </w:p>
    <w:bookmarkStart w:id="27" w:name="Xf893d92f307b5fd0e1e059cb478555ae7aa9e91"/>
    <w:p>
      <w:pPr>
        <w:pStyle w:val="Heading1"/>
      </w:pPr>
      <w:r>
        <w:t xml:space="preserve">Sales Report: Premier Carpenter Services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Period Covered: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premium carpentry services across South Africa Cape Town during the third quarter of 2023. As a leading Carpenter business serving Cape Town's diverse construction and renovation market, we achieved remarkable growth with a 17.5% year-on-year increase in revenue, totaling R486,200 for Q3 alone. Our strategic focus on high-quality custom woodworking solutions for both residential and commercial clients has solidified our position as a trusted Carpenter partner throughout the Cape Town region. This report analyzes key sales drivers, market opportunities, and actionable insights specifically tailored to the South Africa Cape Town economic landscape.</w:t>
      </w:r>
    </w:p>
    <w:bookmarkEnd w:id="20"/>
    <w:bookmarkStart w:id="21" w:name="ii.-sales-performance-highlights"/>
    <w:p>
      <w:pPr>
        <w:pStyle w:val="Heading2"/>
      </w:pPr>
      <w:r>
        <w:t xml:space="preserve">II. Sales Performance Highlights</w:t>
      </w:r>
    </w:p>
    <w:p>
      <w:pPr>
        <w:pStyle w:val="FirstParagraph"/>
      </w:pPr>
      <w:r>
        <w:t xml:space="preserve">Our Q3 2023 performance demonstrates exceptional growth in critical service areas:</w:t>
      </w:r>
    </w:p>
    <w:p>
      <w:pPr>
        <w:numPr>
          <w:ilvl w:val="0"/>
          <w:numId w:val="1001"/>
        </w:numPr>
        <w:pStyle w:val="Compact"/>
      </w:pPr>
      <w:r>
        <w:rPr>
          <w:bCs/>
          <w:b/>
        </w:rPr>
        <w:t xml:space="preserve">Revenue Growth:</w:t>
      </w:r>
      <w:r>
        <w:t xml:space="preserve"> </w:t>
      </w:r>
      <w:r>
        <w:t xml:space="preserve">R486,200 (Q3 2023) vs. R414,750 (Q3 2022) – representing a 17.5% increase</w:t>
      </w:r>
    </w:p>
    <w:p>
      <w:pPr>
        <w:numPr>
          <w:ilvl w:val="0"/>
          <w:numId w:val="1001"/>
        </w:numPr>
        <w:pStyle w:val="Compact"/>
      </w:pPr>
      <w:r>
        <w:rPr>
          <w:bCs/>
          <w:b/>
        </w:rPr>
        <w:t xml:space="preserve">New Client Acquisition:</w:t>
      </w:r>
      <w:r>
        <w:t xml:space="preserve"> </w:t>
      </w:r>
      <w:r>
        <w:t xml:space="preserve">38 new residential projects (+29% from Q2), including high-value villa renovations in Cape Town suburbs like Constantia and Sea Point</w:t>
      </w:r>
    </w:p>
    <w:p>
      <w:pPr>
        <w:numPr>
          <w:ilvl w:val="0"/>
          <w:numId w:val="1001"/>
        </w:numPr>
        <w:pStyle w:val="Compact"/>
      </w:pPr>
      <w:r>
        <w:rPr>
          <w:bCs/>
          <w:b/>
        </w:rPr>
        <w:t xml:space="preserve">Commercial Contracts:</w:t>
      </w:r>
      <w:r>
        <w:t xml:space="preserve"> </w:t>
      </w:r>
      <w:r>
        <w:t xml:space="preserve">Secured 7 major contracts with local property developers (including a R150,000 project for a new retail complex in Woodstock)</w:t>
      </w:r>
    </w:p>
    <w:p>
      <w:pPr>
        <w:numPr>
          <w:ilvl w:val="0"/>
          <w:numId w:val="1001"/>
        </w:numPr>
        <w:pStyle w:val="Compact"/>
      </w:pPr>
      <w:r>
        <w:rPr>
          <w:bCs/>
          <w:b/>
        </w:rPr>
        <w:t xml:space="preserve">Repeat Business Rate:</w:t>
      </w:r>
      <w:r>
        <w:t xml:space="preserve"> </w:t>
      </w:r>
      <w:r>
        <w:t xml:space="preserve">42% of total revenue came from returning clients – a testament to our Carpenter service excellence</w:t>
      </w:r>
    </w:p>
    <w:bookmarkEnd w:id="21"/>
    <w:bookmarkStart w:id="22" w:name="Xa714785397e0752853ea3fe65b1ebf9ef3a93d2"/>
    <w:p>
      <w:pPr>
        <w:pStyle w:val="Heading2"/>
      </w:pPr>
      <w:r>
        <w:t xml:space="preserve">III. Market Analysis: Cape Town Construction Landscape</w:t>
      </w:r>
    </w:p>
    <w:p>
      <w:pPr>
        <w:pStyle w:val="FirstParagraph"/>
      </w:pPr>
      <w:r>
        <w:t xml:space="preserve">The South Africa Cape Town construction sector showed robust activity in Q3, driven by post-pandemic housing demand and tourism infrastructure development. Our Sales Report identifies three pivotal market trends:</w:t>
      </w:r>
    </w:p>
    <w:p>
      <w:pPr>
        <w:numPr>
          <w:ilvl w:val="0"/>
          <w:numId w:val="1002"/>
        </w:numPr>
        <w:pStyle w:val="Compact"/>
      </w:pPr>
      <w:r>
        <w:rPr>
          <w:bCs/>
          <w:b/>
        </w:rPr>
        <w:t xml:space="preserve">Residential Renovation Boom:</w:t>
      </w:r>
      <w:r>
        <w:t xml:space="preserve"> </w:t>
      </w:r>
      <w:r>
        <w:t xml:space="preserve">68% of our sales came from homeowners seeking custom cabinetry and timber finishes – particularly in Cape Town's premium suburbs where property values exceed R2 million. Demand for sustainable timber solutions has surged following Cape Town's new municipal green building guidelines.</w:t>
      </w:r>
    </w:p>
    <w:p>
      <w:pPr>
        <w:numPr>
          <w:ilvl w:val="0"/>
          <w:numId w:val="1002"/>
        </w:numPr>
        <w:pStyle w:val="Compact"/>
      </w:pPr>
      <w:r>
        <w:rPr>
          <w:bCs/>
          <w:b/>
        </w:rPr>
        <w:t xml:space="preserve">Commercial Expansion:</w:t>
      </w:r>
      <w:r>
        <w:t xml:space="preserve"> </w:t>
      </w:r>
      <w:r>
        <w:t xml:space="preserve">The city's ongoing infrastructure projects (including the N17 upgrade and Table Mountain National Park facilities) created significant opportunities for our Carpenter services in structural carpentry and public space installations.</w:t>
      </w:r>
    </w:p>
    <w:p>
      <w:pPr>
        <w:numPr>
          <w:ilvl w:val="0"/>
          <w:numId w:val="1002"/>
        </w:numPr>
        <w:pStyle w:val="Compact"/>
      </w:pPr>
      <w:r>
        <w:rPr>
          <w:bCs/>
          <w:b/>
        </w:rPr>
        <w:t xml:space="preserve">Sustainability Focus:</w:t>
      </w:r>
      <w:r>
        <w:t xml:space="preserve"> </w:t>
      </w:r>
      <w:r>
        <w:t xml:space="preserve">54% of new clients specifically requested FSC-certified wood or recycled timber – aligning with South Africa's National Green Building Standard. This trend is accelerating rapidly within Cape Town's eco-conscious communities.</w:t>
      </w:r>
    </w:p>
    <w:bookmarkEnd w:id="22"/>
    <w:bookmarkStart w:id="23" w:name="iv.-customer-profile-regional-insights"/>
    <w:p>
      <w:pPr>
        <w:pStyle w:val="Heading2"/>
      </w:pPr>
      <w:r>
        <w:t xml:space="preserve">IV. Customer Profile &amp; Regional Insights</w:t>
      </w:r>
    </w:p>
    <w:p>
      <w:pPr>
        <w:pStyle w:val="FirstParagraph"/>
      </w:pPr>
      <w:r>
        <w:t xml:space="preserve">Our South Africa Cape Town client base reveals distinctive regional patterns: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 of Total Sales</w:t>
            </w:r>
          </w:p>
        </w:tc>
        <w:tc>
          <w:tcPr/>
          <w:p>
            <w:pPr>
              <w:pStyle w:val="Compact"/>
              <w:jc w:val="left"/>
            </w:pPr>
            <w:r>
              <w:t xml:space="preserve">Key Cape Town Areas</w:t>
            </w:r>
          </w:p>
        </w:tc>
        <w:tc>
          <w:tcPr/>
          <w:p>
            <w:pPr>
              <w:pStyle w:val="Compact"/>
              <w:jc w:val="left"/>
            </w:pPr>
            <w:r>
              <w:t xml:space="preserve">Top Demand Products</w:t>
            </w:r>
          </w:p>
        </w:tc>
      </w:tr>
      <w:tr>
        <w:tc>
          <w:tcPr/>
          <w:p>
            <w:pPr>
              <w:pStyle w:val="Compact"/>
              <w:jc w:val="left"/>
            </w:pPr>
            <w:r>
              <w:t xml:space="preserve">High-End Residential (R1.5M+ Properties)</w:t>
            </w:r>
          </w:p>
        </w:tc>
        <w:tc>
          <w:tcPr/>
          <w:p>
            <w:pPr>
              <w:pStyle w:val="Compact"/>
              <w:jc w:val="left"/>
            </w:pPr>
            <w:r>
              <w:t xml:space="preserve">48%</w:t>
            </w:r>
          </w:p>
        </w:tc>
        <w:tc>
          <w:tcPr/>
          <w:p>
            <w:pPr>
              <w:pStyle w:val="Compact"/>
              <w:jc w:val="left"/>
            </w:pPr>
            <w:r>
              <w:t xml:space="preserve">Constantia, Camps Bay, Bishop's Court</w:t>
            </w:r>
          </w:p>
        </w:tc>
        <w:tc>
          <w:tcPr/>
          <w:p>
            <w:pPr>
              <w:pStyle w:val="Compact"/>
              <w:jc w:val="left"/>
            </w:pPr>
            <w:r>
              <w:t xml:space="preserve">Cedar cabinetry, bespoke staircases</w:t>
            </w:r>
          </w:p>
        </w:tc>
      </w:tr>
      <w:tr>
        <w:tc>
          <w:tcPr/>
          <w:p>
            <w:pPr>
              <w:pStyle w:val="Compact"/>
              <w:jc w:val="left"/>
            </w:pPr>
            <w:r>
              <w:t xml:space="preserve">Mid-Range Housing Developments</w:t>
            </w:r>
          </w:p>
        </w:tc>
        <w:tc>
          <w:tcPr/>
          <w:p>
            <w:pPr>
              <w:pStyle w:val="Compact"/>
              <w:jc w:val="left"/>
            </w:pPr>
            <w:r>
              <w:t xml:space="preserve">32%</w:t>
            </w:r>
          </w:p>
        </w:tc>
        <w:tc>
          <w:tcPr>
            <w:gridSpan w:val="2"/>
          </w:tcPr>
          <w:p>
            <w:pPr>
              <w:pStyle w:val="Compact"/>
              <w:jc w:val="left"/>
            </w:pPr>
            <w:r>
              <w:t xml:space="preserve">Cape Town suburbs (Goodwood, Mowbray)</w:t>
            </w:r>
          </w:p>
        </w:tc>
      </w:tr>
      <w:tr>
        <w:tc>
          <w:tcPr/>
          <w:p>
            <w:pPr>
              <w:pStyle w:val="Compact"/>
              <w:jc w:val="left"/>
            </w:pPr>
            <w:r>
              <w:t xml:space="preserve">Commercial/Institutional</w:t>
            </w:r>
          </w:p>
        </w:tc>
        <w:tc>
          <w:tcPr/>
          <w:p>
            <w:pPr>
              <w:pStyle w:val="Compact"/>
              <w:jc w:val="left"/>
            </w:pPr>
            <w:r>
              <w:t xml:space="preserve">20%</w:t>
            </w:r>
          </w:p>
        </w:tc>
        <w:tc>
          <w:tcPr>
            <w:gridSpan w:val="2"/>
          </w:tcPr>
          <w:p>
            <w:pPr>
              <w:pStyle w:val="Compact"/>
              <w:jc w:val="left"/>
            </w:pPr>
            <w:r>
              <w:t xml:space="preserve">City Centre, Woodstock, Foreshore</w:t>
            </w:r>
          </w:p>
        </w:tc>
      </w:tr>
    </w:tbl>
    <w:p>
      <w:pPr>
        <w:pStyle w:val="BodyText"/>
      </w:pPr>
      <w:r>
        <w:rPr>
          <w:bCs/>
          <w:b/>
        </w:rPr>
        <w:t xml:space="preserve">Cape Town-Specific Insight:</w:t>
      </w:r>
      <w:r>
        <w:t xml:space="preserve"> </w:t>
      </w:r>
      <w:r>
        <w:t xml:space="preserve">Clients in the city center prioritize rapid turnaround (average project duration: 18 days), while suburbs like Claremont emphasize premium materials. This geographic segmentation directly informs our Carpenter service delivery strategy.</w:t>
      </w:r>
    </w:p>
    <w:bookmarkEnd w:id="23"/>
    <w:bookmarkStart w:id="24" w:name="v.-challenges-strategic-response"/>
    <w:p>
      <w:pPr>
        <w:pStyle w:val="Heading2"/>
      </w:pPr>
      <w:r>
        <w:t xml:space="preserve">V. Challenges &amp; Strategic Response</w:t>
      </w:r>
    </w:p>
    <w:p>
      <w:pPr>
        <w:pStyle w:val="FirstParagraph"/>
      </w:pPr>
      <w:r>
        <w:t xml:space="preserve">Our Sales Report identifies two key challenges unique to South Africa Cape Town operations:</w:t>
      </w:r>
    </w:p>
    <w:p>
      <w:pPr>
        <w:numPr>
          <w:ilvl w:val="0"/>
          <w:numId w:val="1003"/>
        </w:numPr>
        <w:pStyle w:val="Compact"/>
      </w:pPr>
      <w:r>
        <w:rPr>
          <w:bCs/>
          <w:b/>
        </w:rPr>
        <w:t xml:space="preserve">Material Supply Volatility:</w:t>
      </w:r>
      <w:r>
        <w:t xml:space="preserve"> </w:t>
      </w:r>
      <w:r>
        <w:t xml:space="preserve">Timber price fluctuations (+12% since Q1) due to export restrictions on indigenous hardwoods. *Response:* We've secured a long-term contract with Cape Town-based sustainable timber supplier "Southern Timber Works" for fixed-price material supply.</w:t>
      </w:r>
    </w:p>
    <w:p>
      <w:pPr>
        <w:numPr>
          <w:ilvl w:val="0"/>
          <w:numId w:val="1003"/>
        </w:numPr>
        <w:pStyle w:val="Compact"/>
      </w:pPr>
      <w:r>
        <w:rPr>
          <w:bCs/>
          <w:b/>
        </w:rPr>
        <w:t xml:space="preserve">Competition Pressure:</w:t>
      </w:r>
      <w:r>
        <w:t xml:space="preserve"> </w:t>
      </w:r>
      <w:r>
        <w:t xml:space="preserve">New entrants offering low-cost services in Cape Town's outer suburbs. *Response:* We doubled down on premium service differentiation through our "Cape Craft Guarantee" – 5-year warranty on all work with free annual maintenance checks.</w:t>
      </w:r>
    </w:p>
    <w:bookmarkEnd w:id="24"/>
    <w:bookmarkStart w:id="25" w:name="Xdc14d2506bfadc3d99fa1db9fe3328f9a21056e"/>
    <w:p>
      <w:pPr>
        <w:pStyle w:val="Heading2"/>
      </w:pPr>
      <w:r>
        <w:t xml:space="preserve">VI. Growth Opportunities for South Africa Cape Town</w:t>
      </w:r>
    </w:p>
    <w:p>
      <w:pPr>
        <w:pStyle w:val="FirstParagraph"/>
      </w:pPr>
      <w:r>
        <w:t xml:space="preserve">Based on current market indicators, we recommend three high-potential growth vectors:</w:t>
      </w:r>
    </w:p>
    <w:p>
      <w:pPr>
        <w:numPr>
          <w:ilvl w:val="0"/>
          <w:numId w:val="1004"/>
        </w:numPr>
        <w:pStyle w:val="Compact"/>
      </w:pPr>
      <w:r>
        <w:rPr>
          <w:bCs/>
          <w:b/>
        </w:rPr>
        <w:t xml:space="preserve">Cape Town Tourism Sector Expansion:</w:t>
      </w:r>
      <w:r>
        <w:t xml:space="preserve"> </w:t>
      </w:r>
      <w:r>
        <w:t xml:space="preserve">Partnering with boutique hotels in the V&amp;A Waterfront and Camps Bay for custom furniture installations (Project pipeline: R210,000 potential value).</w:t>
      </w:r>
    </w:p>
    <w:p>
      <w:pPr>
        <w:numPr>
          <w:ilvl w:val="0"/>
          <w:numId w:val="1004"/>
        </w:numPr>
        <w:pStyle w:val="Compact"/>
      </w:pPr>
      <w:r>
        <w:rPr>
          <w:bCs/>
          <w:b/>
        </w:rPr>
        <w:t xml:space="preserve">Government Housing Partnerships:</w:t>
      </w:r>
      <w:r>
        <w:t xml:space="preserve"> </w:t>
      </w:r>
      <w:r>
        <w:t xml:space="preserve">Bid for municipal housing projects under Cape Town's "Affordable Housing Initiative" – targeting 15% of our new client base by Q2 2024.</w:t>
      </w:r>
    </w:p>
    <w:p>
      <w:pPr>
        <w:numPr>
          <w:ilvl w:val="0"/>
          <w:numId w:val="1004"/>
        </w:numPr>
        <w:pStyle w:val="Compact"/>
      </w:pPr>
      <w:r>
        <w:rPr>
          <w:bCs/>
          <w:b/>
        </w:rPr>
        <w:t xml:space="preserve">Sustainability Certification Drive:</w:t>
      </w:r>
      <w:r>
        <w:t xml:space="preserve"> </w:t>
      </w:r>
      <w:r>
        <w:t xml:space="preserve">Launching a "Green Carpenter" certification program to meet increasing demand, with training for all staff on eco-friendly practices compliant with South Africa's National Environmental Management Act.</w:t>
      </w:r>
    </w:p>
    <w:bookmarkEnd w:id="25"/>
    <w:bookmarkStart w:id="26" w:name="vii.-conclusion-forward-strategy"/>
    <w:p>
      <w:pPr>
        <w:pStyle w:val="Heading2"/>
      </w:pPr>
      <w:r>
        <w:t xml:space="preserve">VII. Conclusion &amp; Forward Strategy</w:t>
      </w:r>
    </w:p>
    <w:p>
      <w:pPr>
        <w:pStyle w:val="FirstParagraph"/>
      </w:pPr>
      <w:r>
        <w:t xml:space="preserve">This Sales Report confirms that our Carpenter business is strategically positioned to capitalize on Cape Town's construction growth trajectory. The 17.5% revenue increase in Q3 reflects not just market conditions, but our tailored approach to the South Africa Cape Town marketplace – where we've successfully balanced premium craftsmanship with local economic realities.</w:t>
      </w:r>
    </w:p>
    <w:p>
      <w:pPr>
        <w:pStyle w:val="BodyText"/>
      </w:pPr>
      <w:r>
        <w:t xml:space="preserve">Looking ahead, we will implement a targeted expansion plan focused on three pillars: deepening our presence in Cape Town's high-growth suburbs (Claremont/Mount Nelson), enhancing digital sales channels for faster quoting (launching our new "CapeCraft" mobile app by November 2023), and forming strategic alliances with Cape Town architects through the South African Institute of Architects. Our commitment to being the most reliable Carpenter partner in South Africa Cape Town remains unwavering, with ambitious targets to achieve R1.85M annual revenue by Q4 2024 – a 25% increase from current levels.</w:t>
      </w:r>
    </w:p>
    <w:p>
      <w:pPr>
        <w:pStyle w:val="BodyText"/>
      </w:pPr>
      <w:r>
        <w:t xml:space="preserve">As we continue delivering exceptional value for every client across South Africa Cape Town, this Sales Report serves as both a testament to our achievements and a blueprint for future success in the region's dynamic construction market. The demand for skilled Carpenter services remains strong, and we are fully equipped to lead the industry through responsible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Carpenter Sales Report</dc:title>
  <dc:creator/>
  <dc:language>en</dc:language>
  <cp:keywords/>
  <dcterms:created xsi:type="dcterms:W3CDTF">2026-07-24T03:53:07Z</dcterms:created>
  <dcterms:modified xsi:type="dcterms:W3CDTF">2026-07-24T03:53:07Z</dcterms:modified>
</cp:coreProperties>
</file>

<file path=docProps/custom.xml><?xml version="1.0" encoding="utf-8"?>
<Properties xmlns="http://schemas.openxmlformats.org/officeDocument/2006/custom-properties" xmlns:vt="http://schemas.openxmlformats.org/officeDocument/2006/docPropsVTypes"/>
</file>