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Carpenter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8" w:name="X1454b9a533397b91595a9b4bda927d081523db8"/>
    <w:p>
      <w:pPr>
        <w:pStyle w:val="Heading1"/>
      </w:pPr>
      <w:r>
        <w:t xml:space="preserve">Comprehensive Sales Report: Premium Carpenter Services in United Arab Emirates Abu Dhabi Market (Q3 2023)</w:t>
      </w:r>
    </w:p>
    <w:bookmarkStart w:id="20" w:name="executive-summary"/>
    <w:p>
      <w:pPr>
        <w:pStyle w:val="Heading2"/>
      </w:pPr>
      <w:r>
        <w:t xml:space="preserve">Executive Summary</w:t>
      </w:r>
    </w:p>
    <w:p>
      <w:pPr>
        <w:pStyle w:val="FirstParagraph"/>
      </w:pPr>
      <w:r>
        <w:t xml:space="preserve">This Sales Report presents a detailed analysis of the performance of our premium Carpenter services across the United Arab Emirates Abu Dhabi market during the third quarter of 2023. Operating within Abu Dhabi's dynamic construction and renovation sector, our specialized carpentry division has demonstrated significant growth, achieving a 15.7% year-over-year increase in revenue while solidifying its position as a preferred partner for high-end residential and commercial projects throughout the Emirate. The report underscores the critical role of skilled craftsmanship in meeting Abu Dhabi's unique architectural demands and stringent quality standards.</w:t>
      </w:r>
    </w:p>
    <w:bookmarkEnd w:id="20"/>
    <w:bookmarkStart w:id="21" w:name="Xcb99c3c79f9492083cc1f952715b23594c381a6"/>
    <w:p>
      <w:pPr>
        <w:pStyle w:val="Heading2"/>
      </w:pPr>
      <w:r>
        <w:t xml:space="preserve">Market Context: Carpenter Services in Abu Dhabi</w:t>
      </w:r>
    </w:p>
    <w:p>
      <w:pPr>
        <w:pStyle w:val="FirstParagraph"/>
      </w:pPr>
      <w:r>
        <w:t xml:space="preserve">The United Arab Emirates Abu Dhabi market continues to experience robust growth in both residential and commercial development, driven by initiatives like the UAE Vision 2030 and the ongoing expansion of cultural landmarks, luxury resorts, and premium housing projects. This environment creates exceptional demand for highly skilled Carpenter services capable of executing complex designs while adhering to strict Abu Dhabi Municipality building codes (DHA Compliance Standards) and Emirati aesthetic preferences. Our Carpenter team has strategically positioned itself at the intersection of traditional craftsmanship and contemporary design, addressing a critical gap in the market for bespoke woodwork that respects cultural heritage while embracing modern engineering.</w:t>
      </w:r>
    </w:p>
    <w:bookmarkEnd w:id="21"/>
    <w:bookmarkStart w:id="24" w:name="q3-2023-sales-performance-analysis"/>
    <w:p>
      <w:pPr>
        <w:pStyle w:val="Heading2"/>
      </w:pPr>
      <w:r>
        <w:t xml:space="preserve">Q3 2023 Sales Performance Analysis</w:t>
      </w:r>
    </w:p>
    <w:bookmarkStart w:id="22" w:name="key-metrics-breakdown"/>
    <w:p>
      <w:pPr>
        <w:pStyle w:val="Heading3"/>
      </w:pPr>
      <w:r>
        <w:t xml:space="preserve">Key Metrics Breakdown</w:t>
      </w:r>
    </w:p>
    <w:p>
      <w:pPr>
        <w:pStyle w:val="FirstParagraph"/>
      </w:pPr>
      <w:r>
        <w:t xml:space="preserve">Performance Indicator</w:t>
      </w:r>
    </w:p>
    <w:p>
      <w:pPr>
        <w:pStyle w:val="BodyText"/>
      </w:pPr>
      <w:r>
        <w:t xml:space="preserve">Q3 2023</w:t>
      </w:r>
    </w:p>
    <w:p>
      <w:pPr>
        <w:pStyle w:val="BodyText"/>
      </w:pPr>
      <w:r>
        <w:t xml:space="preserve">Q2 2023</w:t>
      </w:r>
    </w:p>
    <w:p>
      <w:pPr>
        <w:pStyle w:val="BodyText"/>
      </w:pPr>
      <w:r>
        <w:t xml:space="preserve">% Change (QoQ)</w:t>
      </w:r>
    </w:p>
    <w:p>
      <w:pPr>
        <w:pStyle w:val="BodyText"/>
      </w:pPr>
      <w:r>
        <w:t xml:space="preserve">Total Revenue (AED)</w:t>
      </w:r>
    </w:p>
    <w:p>
      <w:pPr>
        <w:pStyle w:val="BodyText"/>
      </w:pPr>
      <w:r>
        <w:t xml:space="preserve">4,850,000</w:t>
      </w:r>
    </w:p>
    <w:p>
      <w:pPr>
        <w:pStyle w:val="BodyText"/>
      </w:pPr>
      <w:r>
        <w:t xml:space="preserve">4,195,200</w:t>
      </w:r>
    </w:p>
    <w:p>
      <w:pPr>
        <w:pStyle w:val="BodyText"/>
      </w:pPr>
      <w:r>
        <w:t xml:space="preserve">+15.7%</w:t>
      </w:r>
    </w:p>
    <w:p>
      <w:pPr>
        <w:pStyle w:val="BodyText"/>
      </w:pPr>
      <w:r>
        <w:t xml:space="preserve">Residential Projects (AED)</w:t>
      </w:r>
    </w:p>
    <w:p>
      <w:pPr>
        <w:pStyle w:val="BodyText"/>
      </w:pPr>
      <w:r>
        <w:t xml:space="preserve">2,985,600</w:t>
      </w:r>
    </w:p>
    <w:p>
      <w:pPr>
        <w:pStyle w:val="BodyText"/>
      </w:pPr>
      <w:r>
        <w:t xml:space="preserve">2,438,700</w:t>
      </w:r>
    </w:p>
    <w:p>
      <w:pPr>
        <w:pStyle w:val="BodyText"/>
      </w:pPr>
      <w:r>
        <w:t xml:space="preserve">+22.4%</w:t>
      </w:r>
    </w:p>
    <w:p>
      <w:pPr>
        <w:pStyle w:val="BodyText"/>
      </w:pPr>
      <w:r>
        <w:t xml:space="preserve">Commercial Projects (AED)</w:t>
      </w:r>
    </w:p>
    <w:p>
      <w:pPr>
        <w:pStyle w:val="BodyText"/>
      </w:pPr>
      <w:r>
        <w:t xml:space="preserve">1,562,300</w:t>
      </w:r>
    </w:p>
    <w:p>
      <w:pPr>
        <w:pStyle w:val="BodyText"/>
      </w:pPr>
      <w:r>
        <w:t xml:space="preserve">&lt;</w:t>
      </w:r>
    </w:p>
    <w:p>
      <w:pPr>
        <w:pStyle w:val="BodyText"/>
      </w:pPr>
      <w:r>
        <w:t xml:space="preserve">1,389,450</w:t>
      </w:r>
    </w:p>
    <w:p>
      <w:pPr>
        <w:pStyle w:val="BodyText"/>
      </w:pPr>
      <w:r>
        <w:t xml:space="preserve">+12.5%</w:t>
      </w:r>
    </w:p>
    <w:p>
      <w:pPr>
        <w:pStyle w:val="BodyText"/>
      </w:pPr>
      <w:r>
        <w:t xml:space="preserve">New Client Acquisition</w:t>
      </w:r>
    </w:p>
    <w:p>
      <w:pPr>
        <w:pStyle w:val="BodyText"/>
      </w:pPr>
      <w:r>
        <w:t xml:space="preserve">47</w:t>
      </w:r>
    </w:p>
    <w:p>
      <w:pPr>
        <w:pStyle w:val="BodyText"/>
      </w:pPr>
      <w:r>
        <w:t xml:space="preserve">38</w:t>
      </w:r>
    </w:p>
    <w:p>
      <w:pPr>
        <w:pStyle w:val="BodyText"/>
      </w:pPr>
      <w:r>
        <w:t xml:space="preserve">+23.7%</w:t>
      </w:r>
    </w:p>
    <w:p>
      <w:pPr>
        <w:pStyle w:val="BodyText"/>
      </w:pPr>
      <w:r>
        <w:t xml:space="preserve">Average Project Value (AED)</w:t>
      </w:r>
    </w:p>
    <w:p>
      <w:pPr>
        <w:pStyle w:val="BodyText"/>
      </w:pPr>
      <w:r>
        <w:t xml:space="preserve">125,600</w:t>
      </w:r>
    </w:p>
    <w:p>
      <w:pPr>
        <w:pStyle w:val="BodyText"/>
      </w:pPr>
      <w:r>
        <w:t xml:space="preserve">118,400</w:t>
      </w:r>
    </w:p>
    <w:p>
      <w:pPr>
        <w:pStyle w:val="BodyText"/>
      </w:pPr>
      <w:r>
        <w:t xml:space="preserve">+6.1%</w:t>
      </w:r>
    </w:p>
    <w:bookmarkEnd w:id="22"/>
    <w:bookmarkStart w:id="23" w:name="project-type-performance-highlights"/>
    <w:p>
      <w:pPr>
        <w:pStyle w:val="Heading3"/>
      </w:pPr>
      <w:r>
        <w:t xml:space="preserve">Project Type Performance Highlights</w:t>
      </w:r>
    </w:p>
    <w:p>
      <w:pPr>
        <w:numPr>
          <w:ilvl w:val="0"/>
          <w:numId w:val="1001"/>
        </w:numPr>
        <w:pStyle w:val="Compact"/>
      </w:pPr>
      <w:r>
        <w:rPr>
          <w:bCs/>
          <w:b/>
        </w:rPr>
        <w:t xml:space="preserve">Luxury Residential (Yas Island, Al Reem Island):</w:t>
      </w:r>
      <w:r>
        <w:t xml:space="preserve"> </w:t>
      </w:r>
      <w:r>
        <w:t xml:space="preserve">A 22.4% revenue increase driven by high-value custom cabinetry, door installations, and interior woodwork for new villas in premium developments like "Al Raha Beach" and "Qasr Al Watan Residences." Our Carpenter team executed intricate traditional Emirati wood inlays alongside contemporary designs, a key differentiator for Abu Dhabi's elite clientele.</w:t>
      </w:r>
    </w:p>
    <w:p>
      <w:pPr>
        <w:numPr>
          <w:ilvl w:val="0"/>
          <w:numId w:val="1001"/>
        </w:numPr>
        <w:pStyle w:val="Compact"/>
      </w:pPr>
      <w:r>
        <w:rPr>
          <w:bCs/>
          <w:b/>
        </w:rPr>
        <w:t xml:space="preserve">Commercial &amp; Hospitality (Abu Dhabi International Airport, Yas Mall):</w:t>
      </w:r>
      <w:r>
        <w:t xml:space="preserve"> </w:t>
      </w:r>
      <w:r>
        <w:t xml:space="preserve">Secured contracts for luxury hotel renovations (including the new Ritz-Carlton Abu Dhabi) and retail fit-outs requiring fire-rated woodwork. Commercial projects contributed significantly to growth due to post-pandemic infrastructure investments under Abu Dhabi's Economic Vision 2030.</w:t>
      </w:r>
    </w:p>
    <w:p>
      <w:pPr>
        <w:numPr>
          <w:ilvl w:val="0"/>
          <w:numId w:val="1001"/>
        </w:numPr>
        <w:pStyle w:val="Compact"/>
      </w:pPr>
      <w:r>
        <w:rPr>
          <w:bCs/>
          <w:b/>
        </w:rPr>
        <w:t xml:space="preserve">Government &amp; Cultural Projects:</w:t>
      </w:r>
      <w:r>
        <w:t xml:space="preserve"> </w:t>
      </w:r>
      <w:r>
        <w:t xml:space="preserve">Successful tender win for woodwork at the new "Museum of the Future" satellite facility in Abu Dhabi, showcasing our Carpenter expertise in precision joinery for high-profile civic projects. This aligns perfectly with UAE's emphasis on cultural preservation and innovation.</w:t>
      </w:r>
    </w:p>
    <w:bookmarkEnd w:id="23"/>
    <w:bookmarkEnd w:id="24"/>
    <w:bookmarkStart w:id="25" w:name="market-insights-driving-success"/>
    <w:p>
      <w:pPr>
        <w:pStyle w:val="Heading2"/>
      </w:pPr>
      <w:r>
        <w:t xml:space="preserve">Market Insights Driving Success</w:t>
      </w:r>
    </w:p>
    <w:p>
      <w:pPr>
        <w:pStyle w:val="FirstParagraph"/>
      </w:pPr>
      <w:r>
        <w:t xml:space="preserve">The success of our Carpenter division in the United Arab Emirates Abu Dhabi market stems from several critical factors:</w:t>
      </w:r>
    </w:p>
    <w:p>
      <w:pPr>
        <w:numPr>
          <w:ilvl w:val="0"/>
          <w:numId w:val="1002"/>
        </w:numPr>
        <w:pStyle w:val="Compact"/>
      </w:pPr>
      <w:r>
        <w:rPr>
          <w:bCs/>
          <w:b/>
        </w:rPr>
        <w:t xml:space="preserve">Cultural Alignment:</w:t>
      </w:r>
      <w:r>
        <w:t xml:space="preserve"> </w:t>
      </w:r>
      <w:r>
        <w:t xml:space="preserve">Understanding that Abu Dhabi's architectural identity blends modernity with heritage. Our Carpenter team incorporates traditional "Mashrabiya" patterns into contemporary designs, a feature increasingly requested by local developers and homeowners.</w:t>
      </w:r>
    </w:p>
    <w:p>
      <w:pPr>
        <w:numPr>
          <w:ilvl w:val="0"/>
          <w:numId w:val="1002"/>
        </w:numPr>
        <w:pStyle w:val="Compact"/>
      </w:pPr>
      <w:r>
        <w:rPr>
          <w:bCs/>
          <w:b/>
        </w:rPr>
        <w:t xml:space="preserve">Compliance Mastery:</w:t>
      </w:r>
      <w:r>
        <w:t xml:space="preserve"> </w:t>
      </w:r>
      <w:r>
        <w:t xml:space="preserve">Strict adherence to Abu Dhabi Municipality standards for fire safety (DHA) and material certification, eliminating project delays common with non-compliant subcontractors. This reliability is paramount in a market where regulatory compliance impacts project timelines and costs.</w:t>
      </w:r>
    </w:p>
    <w:p>
      <w:pPr>
        <w:numPr>
          <w:ilvl w:val="0"/>
          <w:numId w:val="1002"/>
        </w:numPr>
        <w:pStyle w:val="Compact"/>
      </w:pPr>
      <w:r>
        <w:rPr>
          <w:bCs/>
          <w:b/>
        </w:rPr>
        <w:t xml:space="preserve">Sustainability Focus:</w:t>
      </w:r>
      <w:r>
        <w:t xml:space="preserve"> </w:t>
      </w:r>
      <w:r>
        <w:t xml:space="preserve">Increasing demand for FSC-certified wood and eco-friendly finishes from Abu Dhabi-based developers (e.g., Aldar Properties, Mubadala) has positioned our Carpenter services as an environmentally conscious choice, supporting UAE's sustainability goals.</w:t>
      </w:r>
    </w:p>
    <w:p>
      <w:pPr>
        <w:numPr>
          <w:ilvl w:val="0"/>
          <w:numId w:val="1002"/>
        </w:numPr>
        <w:pStyle w:val="Compact"/>
      </w:pPr>
      <w:r>
        <w:rPr>
          <w:bCs/>
          <w:b/>
        </w:rPr>
        <w:t xml:space="preserve">Digital Integration:</w:t>
      </w:r>
      <w:r>
        <w:t xml:space="preserve"> </w:t>
      </w:r>
      <w:r>
        <w:t xml:space="preserve">Adoption of BIM (Building Information Modeling) for precise project planning, reducing errors and enhancing coordination with architects on major Abu Dhabi projects like the new "Abu Dhabi Corniche Development" phase.</w:t>
      </w:r>
    </w:p>
    <w:bookmarkEnd w:id="25"/>
    <w:bookmarkStart w:id="26" w:name="Xf99210918227c79ffeff502679fd2ff482c21f3"/>
    <w:p>
      <w:pPr>
        <w:pStyle w:val="Heading2"/>
      </w:pPr>
      <w:r>
        <w:t xml:space="preserve">Strategic Recommendations for Q4 2023 &amp; Beyond</w:t>
      </w:r>
    </w:p>
    <w:p>
      <w:pPr>
        <w:pStyle w:val="FirstParagraph"/>
      </w:pPr>
      <w:r>
        <w:t xml:space="preserve">To capitalize on Abu Dhabi's booming construction sector and sustain growth, this Sales Report recommends:</w:t>
      </w:r>
    </w:p>
    <w:p>
      <w:pPr>
        <w:numPr>
          <w:ilvl w:val="0"/>
          <w:numId w:val="1003"/>
        </w:numPr>
        <w:pStyle w:val="Compact"/>
      </w:pPr>
      <w:r>
        <w:rPr>
          <w:bCs/>
          <w:b/>
        </w:rPr>
        <w:t xml:space="preserve">Expand Government Contract Portfolio:</w:t>
      </w:r>
      <w:r>
        <w:t xml:space="preserve"> </w:t>
      </w:r>
      <w:r>
        <w:t xml:space="preserve">Prioritize bidding for UAE government-led projects (e.g., Ministry of Housing, Tourism Development &amp; Investment Company) where skilled Carpenter services are essential for national prestige initiatives.</w:t>
      </w:r>
    </w:p>
    <w:p>
      <w:pPr>
        <w:numPr>
          <w:ilvl w:val="0"/>
          <w:numId w:val="1003"/>
        </w:numPr>
        <w:pStyle w:val="Compact"/>
      </w:pPr>
      <w:r>
        <w:rPr>
          <w:bCs/>
          <w:b/>
        </w:rPr>
        <w:t xml:space="preserve">Develop Abu Dhabi-Specific Training:</w:t>
      </w:r>
      <w:r>
        <w:t xml:space="preserve"> </w:t>
      </w:r>
      <w:r>
        <w:t xml:space="preserve">Partner with Abu Dhabi Vocational Education Council (ADVEC) to create a specialized carpentry certification program focused on Emirati architectural styles and local building codes, enhancing workforce quality and market differentiation.</w:t>
      </w:r>
    </w:p>
    <w:p>
      <w:pPr>
        <w:numPr>
          <w:ilvl w:val="0"/>
          <w:numId w:val="1003"/>
        </w:numPr>
        <w:pStyle w:val="Compact"/>
      </w:pPr>
      <w:r>
        <w:rPr>
          <w:bCs/>
          <w:b/>
        </w:rPr>
        <w:t xml:space="preserve">Leverage Dubai-UAE Market Synergy:</w:t>
      </w:r>
      <w:r>
        <w:t xml:space="preserve"> </w:t>
      </w:r>
      <w:r>
        <w:t xml:space="preserve">While focusing on Abu Dhabi, establish cross-border projects with Dubai-based developers seeking consistent quality for UAE-wide portfolios. This leverages our existing brand recognition across the United Arab Emirates.</w:t>
      </w:r>
    </w:p>
    <w:p>
      <w:pPr>
        <w:numPr>
          <w:ilvl w:val="0"/>
          <w:numId w:val="1003"/>
        </w:numPr>
        <w:pStyle w:val="Compact"/>
      </w:pPr>
      <w:r>
        <w:rPr>
          <w:bCs/>
          <w:b/>
        </w:rPr>
        <w:t xml:space="preserve">Enhance Digital Showcase:</w:t>
      </w:r>
      <w:r>
        <w:t xml:space="preserve"> </w:t>
      </w:r>
      <w:r>
        <w:t xml:space="preserve">Create a dedicated "Abu Dhabi Carpenter Projects" portal highlighting local case studies (e.g., "Luxury Villa Woodwork, Saadiyat Island"), directly appealing to Abu Dhabi's high-net-worth segment seeking proven local expertise.</w:t>
      </w:r>
    </w:p>
    <w:bookmarkEnd w:id="26"/>
    <w:bookmarkStart w:id="27" w:name="conclusion"/>
    <w:p>
      <w:pPr>
        <w:pStyle w:val="Heading2"/>
      </w:pPr>
      <w:r>
        <w:t xml:space="preserve">Conclusion</w:t>
      </w:r>
    </w:p>
    <w:p>
      <w:pPr>
        <w:pStyle w:val="FirstParagraph"/>
      </w:pPr>
      <w:r>
        <w:t xml:space="preserve">This Sales Report confirms that our Carpenter division is not merely meeting but actively shaping the demand for premium woodcraft services across the United Arab Emirates Abu Dhabi market. The 15.7% revenue growth in Q3 2023, coupled with expanding client relationships and strategic project wins, underscores the critical value of specialized craftsmanship within Abu Dhabi's evolving built environment. As the Emirate continues its trajectory toward becoming a global hub for sustainable luxury development under Vision 2030, our Carpenter services – deeply rooted in local context yet globally aligned in quality – are positioned for sustained leadership. We commit to further integrating cultural sensitivity and technical excellence into every project, ensuring that every piece of wood crafted reflects the ambition and heritage of Abu Dhabi itself. The future for skilled Carpenter services in the United Arab Emirates Abu Dhabi is not just bright—it is foundational to the Emirate's architectural narrative.</w:t>
      </w:r>
    </w:p>
    <w:p>
      <w:pPr>
        <w:pStyle w:val="BodyText"/>
      </w:pPr>
      <w:r>
        <w:rPr>
          <w:bCs/>
          <w:b/>
        </w:rPr>
        <w:t xml:space="preserve">Prepared For:</w:t>
      </w:r>
      <w:r>
        <w:t xml:space="preserve"> </w:t>
      </w:r>
      <w:r>
        <w:t xml:space="preserve">Executive Leadership, Abu Dhabi Business Development Team</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Carpenter Sales Performance Report - Q3 2023</dc:title>
  <dc:creator/>
  <dc:language>en</dc:language>
  <cp:keywords/>
  <dcterms:created xsi:type="dcterms:W3CDTF">2026-07-24T16:49:36Z</dcterms:created>
  <dcterms:modified xsi:type="dcterms:W3CDTF">2026-07-24T16:49:36Z</dcterms:modified>
</cp:coreProperties>
</file>

<file path=docProps/custom.xml><?xml version="1.0" encoding="utf-8"?>
<Properties xmlns="http://schemas.openxmlformats.org/officeDocument/2006/custom-properties" xmlns:vt="http://schemas.openxmlformats.org/officeDocument/2006/docPropsVTypes"/>
</file>