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Performance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10ed29df31f6b40a05167b793492cb5bd9300d"/>
    <w:p>
      <w:pPr>
        <w:pStyle w:val="Heading1"/>
      </w:pPr>
      <w:r>
        <w:t xml:space="preserve">Comprehensive Sales Report: Premium Carpenter Services Performance in United Arab Emirates Dubai</w:t>
      </w:r>
    </w:p>
    <w:bookmarkStart w:id="20" w:name="introduction"/>
    <w:p>
      <w:pPr>
        <w:pStyle w:val="Heading2"/>
      </w:pPr>
      <w:r>
        <w:t xml:space="preserve">Introduction</w:t>
      </w:r>
    </w:p>
    <w:p>
      <w:pPr>
        <w:pStyle w:val="FirstParagraph"/>
      </w:pPr>
      <w:r>
        <w:t xml:space="preserve">This official Sales Report details the performance metrics, market insights, and strategic analysis of our premium carpentry services across the United Arab Emirates Dubai region. As a leading provider of bespoke woodworking solutions since 2015, our operations in Dubai have consistently demonstrated growth in a highly competitive luxury construction market. This document serves as a critical assessment tool for stakeholders to understand the current trajectory of our Carpenter business unit within the dynamic UAE real estate landscape.</w:t>
      </w:r>
    </w:p>
    <w:bookmarkEnd w:id="20"/>
    <w:bookmarkStart w:id="21" w:name="market-context-carpenter-demand-in-dubai"/>
    <w:p>
      <w:pPr>
        <w:pStyle w:val="Heading2"/>
      </w:pPr>
      <w:r>
        <w:t xml:space="preserve">Market Context: Carpenter Demand in Dubai</w:t>
      </w:r>
    </w:p>
    <w:p>
      <w:pPr>
        <w:pStyle w:val="FirstParagraph"/>
      </w:pPr>
      <w:r>
        <w:t xml:space="preserve">The United Arab Emirates Dubai market has witnessed exponential growth in high-end residential and commercial projects since 2019. With Dubai's construction sector expanding at 6.3% annually (Dubai Statistics Centre, 2023), demand for specialized carpentry services has surged by 41% year-over-year. Our Carpenter division strategically positioned itself to capitalize on Dubai's unique market requirements: luxury villa developments (accounting for 68% of our residential sales), high-end hotel renovations (17%), and premium retail fit-outs (15%). The UAE's cultural emphasis on bespoke woodwork for traditional Arabic architecture and modern minimalist designs creates an unparalleled opportunity for skilled Carpenter professionals.</w:t>
      </w:r>
    </w:p>
    <w:bookmarkEnd w:id="21"/>
    <w:bookmarkStart w:id="22" w:name="q3-2024-sales-performance-analysis"/>
    <w:p>
      <w:pPr>
        <w:pStyle w:val="Heading2"/>
      </w:pPr>
      <w:r>
        <w:t xml:space="preserve">Q3 2024 Sales Performance Analysis</w:t>
      </w:r>
    </w:p>
    <w:p>
      <w:pPr>
        <w:pStyle w:val="FirstParagraph"/>
      </w:pPr>
      <w:r>
        <w:t xml:space="preserve">Category</w:t>
      </w:r>
    </w:p>
    <w:p>
      <w:pPr>
        <w:pStyle w:val="BodyText"/>
      </w:pPr>
      <w:r>
        <w:t xml:space="preserve">Q3 2023 (AED)</w:t>
      </w:r>
    </w:p>
    <w:p>
      <w:pPr>
        <w:pStyle w:val="BodyText"/>
      </w:pPr>
      <w:r>
        <w:t xml:space="preserve">Q3 2024 (AED)</w:t>
      </w:r>
    </w:p>
    <w:p>
      <w:pPr>
        <w:pStyle w:val="BodyText"/>
      </w:pPr>
      <w:r>
        <w:t xml:space="preserve">YoY Change</w:t>
      </w:r>
    </w:p>
    <w:p>
      <w:pPr>
        <w:pStyle w:val="BodyText"/>
      </w:pPr>
      <w:r>
        <w:t xml:space="preserve">Premium Residential Projects</w:t>
      </w:r>
    </w:p>
    <w:p>
      <w:pPr>
        <w:pStyle w:val="BodyText"/>
      </w:pPr>
      <w:r>
        <w:t xml:space="preserve">1,850,000</w:t>
      </w:r>
    </w:p>
    <w:p>
      <w:pPr>
        <w:pStyle w:val="BodyText"/>
      </w:pPr>
      <w:r>
        <w:t xml:space="preserve">2,675,000</w:t>
      </w:r>
    </w:p>
    <w:p>
      <w:pPr>
        <w:pStyle w:val="BodyText"/>
      </w:pPr>
      <w:r>
        <w:t xml:space="preserve">+44.6%</w:t>
      </w:r>
    </w:p>
    <w:p>
      <w:pPr>
        <w:pStyle w:val="BodyText"/>
      </w:pPr>
      <w:r>
        <w:t xml:space="preserve">Luxury Commercial Fit-Outs</w:t>
      </w:r>
    </w:p>
    <w:p>
      <w:pPr>
        <w:pStyle w:val="BodyText"/>
      </w:pPr>
      <w:r>
        <w:t xml:space="preserve">925,000</w:t>
      </w:r>
    </w:p>
    <w:p>
      <w:pPr>
        <w:pStyle w:val="BodyText"/>
      </w:pPr>
      <w:r>
        <w:t xml:space="preserve">1,387,500</w:t>
      </w:r>
    </w:p>
    <w:p>
      <w:pPr>
        <w:pStyle w:val="BodyText"/>
      </w:pPr>
      <w:r>
        <w:t xml:space="preserve">+50.1%</w:t>
      </w:r>
    </w:p>
    <w:p>
      <w:pPr>
        <w:pStyle w:val="BodyText"/>
      </w:pPr>
      <w:r>
        <w:t xml:space="preserve">Historic Restoration Projects</w:t>
      </w:r>
    </w:p>
    <w:p>
      <w:pPr>
        <w:pStyle w:val="BodyText"/>
      </w:pPr>
      <w:r>
        <w:t xml:space="preserve">&lt;</w:t>
      </w:r>
    </w:p>
    <w:p>
      <w:pPr>
        <w:pStyle w:val="BodyText"/>
      </w:pPr>
      <w:r>
        <w:t xml:space="preserve">245,000</w:t>
      </w:r>
    </w:p>
    <w:p>
      <w:pPr>
        <w:pStyle w:val="BodyText"/>
      </w:pPr>
      <w:r>
        <w:t xml:space="preserve">392,000</w:t>
      </w:r>
    </w:p>
    <w:p>
      <w:pPr>
        <w:pStyle w:val="BodyText"/>
      </w:pPr>
      <w:r>
        <w:t xml:space="preserve">+61.8%</w:t>
      </w:r>
    </w:p>
    <w:p>
      <w:pPr>
        <w:pStyle w:val="BodyText"/>
      </w:pPr>
      <w:r>
        <w:t xml:space="preserve">Total Sales Revenue</w:t>
      </w:r>
    </w:p>
    <w:p>
      <w:pPr>
        <w:pStyle w:val="BodyText"/>
      </w:pPr>
      <w:r>
        <w:t xml:space="preserve">3,020,000</w:t>
      </w:r>
    </w:p>
    <w:p>
      <w:pPr>
        <w:pStyle w:val="BodyText"/>
      </w:pPr>
      <w:r>
        <w:t xml:space="preserve">4,454,500</w:t>
      </w:r>
    </w:p>
    <w:p>
      <w:pPr>
        <w:pStyle w:val="BodyText"/>
      </w:pPr>
      <w:r>
        <w:t xml:space="preserve">+47.5%</w:t>
      </w:r>
    </w:p>
    <w:p>
      <w:pPr>
        <w:pStyle w:val="BodyText"/>
      </w:pPr>
      <w:r>
        <w:t xml:space="preserve">The 47.5% revenue growth in Q3 2024 demonstrates exceptional market penetration. Notably, our Carpenter team achieved a 92% client retention rate through Dubai's most prestigious projects including the Burj Khalifa penthouse renovations, Jumeirah Beach Residence (JBR) luxury villas, and Al Marmoon Eco-Resort developments. The 61.8% surge in historic restoration work directly responds to Dubai's new "Heritage Preservation" initiative launched by the Dubai Culture &amp; Arts Authority in early 2024, which mandates traditional woodworking techniques for heritage-listed properties.</w:t>
      </w:r>
    </w:p>
    <w:bookmarkEnd w:id="22"/>
    <w:bookmarkStart w:id="23" w:name="X85fcda77d135d6e236db7233088d4e11c60e156"/>
    <w:p>
      <w:pPr>
        <w:pStyle w:val="Heading2"/>
      </w:pPr>
      <w:r>
        <w:t xml:space="preserve">Customer Satisfaction &amp; Market Differentiation</w:t>
      </w:r>
    </w:p>
    <w:p>
      <w:pPr>
        <w:pStyle w:val="FirstParagraph"/>
      </w:pPr>
      <w:r>
        <w:t xml:space="preserve">Customer feedback from our United Arab Emirates Dubai clients consistently highlights three key differentiators: (1) Cultural adaptation of designs to Arabic aesthetics, (2) Unmatched adherence to Dubai's stringent construction timelines, and (3) Seamless integration with other trades. Our Carpenter division achieved a 4.8/5 average rating on the Dubai Construction Quality Index (DCQI), outperforming competitors by 27%. A recent client testimonial from a Dubai Marina development manager stated: "Their Carpenter team didn't just build cabinets – they understood our vision for authentic Emirati luxury through every joint and finish."</w:t>
      </w:r>
    </w:p>
    <w:bookmarkEnd w:id="23"/>
    <w:bookmarkStart w:id="24" w:name="key-challenges-in-uae-dubai-operations"/>
    <w:p>
      <w:pPr>
        <w:pStyle w:val="Heading2"/>
      </w:pPr>
      <w:r>
        <w:t xml:space="preserve">Key Challenges in UAE Dubai Operations</w:t>
      </w:r>
    </w:p>
    <w:p>
      <w:pPr>
        <w:pStyle w:val="FirstParagraph"/>
      </w:pPr>
      <w:r>
        <w:t xml:space="preserve">Despite strong performance, several market-specific challenges required strategic mitigation:</w:t>
      </w:r>
    </w:p>
    <w:p>
      <w:pPr>
        <w:numPr>
          <w:ilvl w:val="0"/>
          <w:numId w:val="1001"/>
        </w:numPr>
        <w:pStyle w:val="Compact"/>
      </w:pPr>
      <w:r>
        <w:rPr>
          <w:bCs/>
          <w:b/>
        </w:rPr>
        <w:t xml:space="preserve">Raw Material Sourcing:</w:t>
      </w:r>
      <w:r>
        <w:t xml:space="preserve"> </w:t>
      </w:r>
      <w:r>
        <w:t xml:space="preserve">Import restrictions on European hardwoods (effective Q1 2024) forced us to develop partnerships with sustainable Omani wood suppliers, increasing costs by 18% but maintaining quality standards for Dubai's luxury market.</w:t>
      </w:r>
    </w:p>
    <w:p>
      <w:pPr>
        <w:numPr>
          <w:ilvl w:val="0"/>
          <w:numId w:val="1001"/>
        </w:numPr>
        <w:pStyle w:val="Compact"/>
      </w:pPr>
      <w:r>
        <w:rPr>
          <w:bCs/>
          <w:b/>
        </w:rPr>
        <w:t xml:space="preserve">Talent Retention:</w:t>
      </w:r>
      <w:r>
        <w:t xml:space="preserve"> </w:t>
      </w:r>
      <w:r>
        <w:t xml:space="preserve">Competing with Dubai's rapidly expanding construction sector for skilled Carpenter artisans led to a 12% increase in recruitment costs. Our solution involved establishing a dedicated UAE training academy at Al Quoz Industrial Area, reducing onboarding time by 35%.</w:t>
      </w:r>
    </w:p>
    <w:p>
      <w:pPr>
        <w:numPr>
          <w:ilvl w:val="0"/>
          <w:numId w:val="1001"/>
        </w:numPr>
        <w:pStyle w:val="Compact"/>
      </w:pPr>
      <w:r>
        <w:rPr>
          <w:bCs/>
          <w:b/>
        </w:rPr>
        <w:t xml:space="preserve">Regulatory Compliance:</w:t>
      </w:r>
      <w:r>
        <w:t xml:space="preserve"> </w:t>
      </w:r>
      <w:r>
        <w:t xml:space="preserve">Navigating Dubai Municipality's new "Smart Building Standards" required extensive retraining of our Carpenter team on digital workflow integration, adding 200 hours of specialized training per employee.</w:t>
      </w:r>
    </w:p>
    <w:bookmarkEnd w:id="24"/>
    <w:bookmarkStart w:id="25" w:name="X90f2a38655f6537f973fdb41227df4e1cc86b9b"/>
    <w:p>
      <w:pPr>
        <w:pStyle w:val="Heading2"/>
      </w:pPr>
      <w:r>
        <w:t xml:space="preserve">Growth Strategies for United Arab Emirates Dubai Market</w:t>
      </w:r>
    </w:p>
    <w:p>
      <w:pPr>
        <w:pStyle w:val="FirstParagraph"/>
      </w:pPr>
      <w:r>
        <w:t xml:space="preserve">Based on this Sales Report analysis, we propose the following targeted initiatives:</w:t>
      </w:r>
    </w:p>
    <w:p>
      <w:pPr>
        <w:numPr>
          <w:ilvl w:val="0"/>
          <w:numId w:val="1002"/>
        </w:numPr>
        <w:pStyle w:val="Compact"/>
      </w:pPr>
      <w:r>
        <w:rPr>
          <w:bCs/>
          <w:b/>
        </w:rPr>
        <w:t xml:space="preserve">Heritage Craft Division Launch:</w:t>
      </w:r>
      <w:r>
        <w:t xml:space="preserve"> </w:t>
      </w:r>
      <w:r>
        <w:t xml:space="preserve">Creating a dedicated unit specializing in traditional Arabic woodworking techniques (like "Mashrabiya" latticework) to capture 30% market share in Dubai's heritage projects by Q2 2025.</w:t>
      </w:r>
    </w:p>
    <w:p>
      <w:pPr>
        <w:numPr>
          <w:ilvl w:val="0"/>
          <w:numId w:val="1002"/>
        </w:numPr>
        <w:pStyle w:val="Compact"/>
      </w:pPr>
      <w:r>
        <w:rPr>
          <w:bCs/>
          <w:b/>
        </w:rPr>
        <w:t xml:space="preserve">Digital Integration:</w:t>
      </w:r>
      <w:r>
        <w:t xml:space="preserve"> </w:t>
      </w:r>
      <w:r>
        <w:t xml:space="preserve">Implementing AR/VR design tools for clients to visualize Carpenter installations before construction, reducing revision cycles by an estimated 45% based on pilot programs at Palm Jumeirah.</w:t>
      </w:r>
    </w:p>
    <w:p>
      <w:pPr>
        <w:numPr>
          <w:ilvl w:val="0"/>
          <w:numId w:val="1002"/>
        </w:numPr>
        <w:pStyle w:val="Compact"/>
      </w:pPr>
      <w:r>
        <w:rPr>
          <w:bCs/>
          <w:b/>
        </w:rPr>
        <w:t xml:space="preserve">Sustainability Certification:</w:t>
      </w:r>
      <w:r>
        <w:t xml:space="preserve"> </w:t>
      </w:r>
      <w:r>
        <w:t xml:space="preserve">Achieving LEED Platinum certification for all Dubai operations by Q4 2025 to align with Dubai's Green Building Code, addressing growing client demand for eco-friendly carpentry solutions.</w:t>
      </w:r>
    </w:p>
    <w:bookmarkEnd w:id="25"/>
    <w:bookmarkStart w:id="26" w:name="conclusion-strategic-outlook"/>
    <w:p>
      <w:pPr>
        <w:pStyle w:val="Heading2"/>
      </w:pPr>
      <w:r>
        <w:t xml:space="preserve">Conclusion &amp; Strategic Outlook</w:t>
      </w:r>
    </w:p>
    <w:p>
      <w:pPr>
        <w:pStyle w:val="FirstParagraph"/>
      </w:pPr>
      <w:r>
        <w:t xml:space="preserve">This Sales Report confirms that our Carpenter business has become a pivotal revenue driver within the United Arab Emirates Dubai construction ecosystem. The 47.5% YoY growth positions us as a market leader in luxury woodworking services, with particular strength in Dubai's evolving heritage and high-end commercial sectors. Moving forward, we project 35-40% annual revenue growth through strategic investments in cultural adaptation and digital innovation – directly addressing the unique demands of Dubai's sophisticated client base.</w:t>
      </w:r>
    </w:p>
    <w:p>
      <w:pPr>
        <w:pStyle w:val="BodyText"/>
      </w:pPr>
      <w:r>
        <w:t xml:space="preserve">As Dubai accelerates its Vision 2030 goals for sustainable luxury development, our Carpenter division will remain at the forefront of translating these ambitions into tangible woodwork solutions. This Sales Report underscores our commitment to delivering not merely products, but culturally resonant craftsmanship that elevates every project in the United Arab Emirates Dubai market. We recommend full approval of the proposed Heritage Craft Division and digital integration budget to capture 22% additional market share within 18 months.</w:t>
      </w:r>
    </w:p>
    <w:p>
      <w:pPr>
        <w:pStyle w:val="BodyText"/>
      </w:pPr>
      <w:r>
        <w:rPr>
          <w:iCs/>
          <w:i/>
        </w:rPr>
        <w:t xml:space="preserve">Prepared by: Dubai Operations Strategy Team</w:t>
      </w:r>
      <w:r>
        <w:br/>
      </w:r>
      <w:r>
        <w:rPr>
          <w:iCs/>
          <w:i/>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Performance - United Arab Emirates Dubai</dc:title>
  <dc:creator/>
  <dc:language>en</dc:language>
  <cp:keywords/>
  <dcterms:created xsi:type="dcterms:W3CDTF">2026-07-23T14:51:04Z</dcterms:created>
  <dcterms:modified xsi:type="dcterms:W3CDTF">2026-07-23T14:51:04Z</dcterms:modified>
</cp:coreProperties>
</file>

<file path=docProps/custom.xml><?xml version="1.0" encoding="utf-8"?>
<Properties xmlns="http://schemas.openxmlformats.org/officeDocument/2006/custom-properties" xmlns:vt="http://schemas.openxmlformats.org/officeDocument/2006/docPropsVTypes"/>
</file>