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Carpenter</w:t>
      </w:r>
      <w:r>
        <w:t xml:space="preserve"> </w:t>
      </w:r>
      <w:r>
        <w:t xml:space="preserve">Services</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1e77cbbf271c1f6a693126bbc4dcc5830e2d13a"/>
    <w:p>
      <w:pPr>
        <w:pStyle w:val="Heading1"/>
      </w:pPr>
      <w:r>
        <w:t xml:space="preserve">Sales Report: Premium Carpenter Services Performance Analysis - United Kingdom London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London-based Woodworking Enterprise</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comprehensive Sales Report details the performance of our premium carpentry services across the United Kingdom London market during Q3 2023. As a leading independent Carpenter in Greater London, our enterprise has achieved remarkable growth through strategic positioning in high-demand residential and commercial sectors. This document confirms that our specialized carpentry solutions have captured 18.7% market share among mid-to-high-end woodworking contractors in the United Kingdom London region, reflecting strong client acquisition and service excellence. The Sales Report demonstrates how our Carpenter team's craftsmanship directly contributes to London's evolving architectural landscape while driving sustainable revenue growth.</w:t>
      </w:r>
    </w:p>
    <w:bookmarkEnd w:id="20"/>
    <w:bookmarkStart w:id="21" w:name="X10789ade4d1de2d53cbbedff2516e1c23a2e067"/>
    <w:p>
      <w:pPr>
        <w:pStyle w:val="Heading2"/>
      </w:pPr>
      <w:r>
        <w:t xml:space="preserve">II. Market Context: Carpenter Demand in United Kingdom London</w:t>
      </w:r>
    </w:p>
    <w:p>
      <w:pPr>
        <w:pStyle w:val="FirstParagraph"/>
      </w:pPr>
      <w:r>
        <w:t xml:space="preserve">The United Kingdom London construction market continues to exhibit robust demand for skilled carpentry services, fueled by post-pandemic housing renewal, luxury interior renovations, and commercial fit-out projects. According to the Construction Industry Training Board (CITB), London's carpentry sector grew by 9.3% YoY in 2023, with premium residential projects driving 65% of this expansion. Our Sales Report confirms that London homeowners and developers increasingly prioritize bespoke carpentry—valuing durability, aesthetic integration, and compliance with UK building regulations (Part L Energy Efficiency Standards). This trend positions our Carpenter services as indispensable for high-value property development in the United Kingdom capital.</w:t>
      </w:r>
    </w:p>
    <w:bookmarkEnd w:id="21"/>
    <w:bookmarkStart w:id="22" w:name="iii.-sales-performance-highlights"/>
    <w:p>
      <w:pPr>
        <w:pStyle w:val="Heading2"/>
      </w:pPr>
      <w:r>
        <w:t xml:space="preserve">III. Sales Performance Highlights</w:t>
      </w:r>
    </w:p>
    <w:p>
      <w:pPr>
        <w:pStyle w:val="FirstParagraph"/>
      </w:pPr>
      <w:r>
        <w:rPr>
          <w:bCs/>
          <w:b/>
        </w:rPr>
        <w:t xml:space="preserve">Revenue Growth:</w:t>
      </w:r>
      <w:r>
        <w:t xml:space="preserve"> </w:t>
      </w:r>
      <w:r>
        <w:t xml:space="preserve">Total sales reached £487,500 in Q3 2023 (vs. £398,200 in Q2), representing a 22.4% quarterly increase and 15.6% annual growth.</w:t>
      </w:r>
    </w:p>
    <w:p>
      <w:pPr>
        <w:pStyle w:val="BodyText"/>
      </w:pPr>
      <w:r>
        <w:rPr>
          <w:bCs/>
          <w:b/>
        </w:rPr>
        <w:t xml:space="preserve">Project Portfolio:</w:t>
      </w:r>
      <w:r>
        <w:t xml:space="preserve"> </w:t>
      </w:r>
      <w:r>
        <w:t xml:space="preserve">Completed 47 high-value projects including:</w:t>
      </w:r>
    </w:p>
    <w:p>
      <w:pPr>
        <w:numPr>
          <w:ilvl w:val="0"/>
          <w:numId w:val="1001"/>
        </w:numPr>
        <w:pStyle w:val="Compact"/>
      </w:pPr>
      <w:r>
        <w:t xml:space="preserve">8 luxury bespoke kitchen installations in Mayfair (average value: £32,000)</w:t>
      </w:r>
    </w:p>
    <w:p>
      <w:pPr>
        <w:numPr>
          <w:ilvl w:val="0"/>
          <w:numId w:val="1001"/>
        </w:numPr>
        <w:pStyle w:val="Compact"/>
      </w:pPr>
      <w:r>
        <w:t xml:space="preserve">12 heritage home restoration projects across Westminster and Kensington</w:t>
      </w:r>
    </w:p>
    <w:p>
      <w:pPr>
        <w:numPr>
          <w:ilvl w:val="0"/>
          <w:numId w:val="1001"/>
        </w:numPr>
        <w:pStyle w:val="Compact"/>
      </w:pPr>
      <w:r>
        <w:t xml:space="preserve">5 commercial fit-outs for London-based startups (office partitioning &amp; reception areas)</w:t>
      </w:r>
    </w:p>
    <w:p>
      <w:pPr>
        <w:pStyle w:val="FirstParagraph"/>
      </w:pPr>
      <w:r>
        <w:rPr>
          <w:bCs/>
          <w:b/>
        </w:rPr>
        <w:t xml:space="preserve">Client Acquisition:</w:t>
      </w:r>
      <w:r>
        <w:t xml:space="preserve"> </w:t>
      </w:r>
      <w:r>
        <w:t xml:space="preserve">Secured 17 new contracts from referral networks (up 31% YoY), with 68% sourced through trusted London property developers. Our Carpenter team's portfolio now includes landmark projects like the restoration of Grade II-listed townhouses on St. John's Wood Road and modern extensions for Canary Wharf executives.</w:t>
      </w:r>
    </w:p>
    <w:bookmarkEnd w:id="22"/>
    <w:bookmarkStart w:id="23" w:name="X9a5025474cea81528489abc3daa9a37048bc2fc"/>
    <w:p>
      <w:pPr>
        <w:pStyle w:val="Heading2"/>
      </w:pPr>
      <w:r>
        <w:t xml:space="preserve">IV. Regional Market Analysis: United Kingdom London Focus</w:t>
      </w:r>
    </w:p>
    <w:p>
      <w:pPr>
        <w:pStyle w:val="FirstParagraph"/>
      </w:pPr>
      <w:r>
        <w:t xml:space="preserve">The Sales Report identifies London-specific demand patterns critical to our Carpenter business model:</w:t>
      </w:r>
    </w:p>
    <w:p>
      <w:pPr>
        <w:numPr>
          <w:ilvl w:val="0"/>
          <w:numId w:val="1002"/>
        </w:numPr>
        <w:pStyle w:val="Compact"/>
      </w:pPr>
      <w:r>
        <w:rPr>
          <w:bCs/>
          <w:b/>
        </w:rPr>
        <w:t xml:space="preserve">Residential Premiumization:</w:t>
      </w:r>
      <w:r>
        <w:t xml:space="preserve"> </w:t>
      </w:r>
      <w:r>
        <w:t xml:space="preserve">74% of sales derive from properties valued above £1.2M in Central London boroughs (Kensington, Chelsea, City of Westminster).</w:t>
      </w:r>
    </w:p>
    <w:p>
      <w:pPr>
        <w:numPr>
          <w:ilvl w:val="0"/>
          <w:numId w:val="1002"/>
        </w:numPr>
        <w:pStyle w:val="Compact"/>
      </w:pPr>
      <w:r>
        <w:rPr>
          <w:bCs/>
          <w:b/>
        </w:rPr>
        <w:t xml:space="preserve">Sustainability Imperative:</w:t>
      </w:r>
      <w:r>
        <w:t xml:space="preserve"> </w:t>
      </w:r>
      <w:r>
        <w:t xml:space="preserve">63% of clients now require FSC-certified timber and low-VOC finishes—directly aligning with London's Building Safety Act 2022 compliance standards.</w:t>
      </w:r>
    </w:p>
    <w:p>
      <w:pPr>
        <w:numPr>
          <w:ilvl w:val="0"/>
          <w:numId w:val="1002"/>
        </w:numPr>
        <w:pStyle w:val="Compact"/>
      </w:pPr>
      <w:r>
        <w:rPr>
          <w:bCs/>
          <w:b/>
        </w:rPr>
        <w:t xml:space="preserve">Timing Sensitivity:</w:t>
      </w:r>
      <w:r>
        <w:t xml:space="preserve"> </w:t>
      </w:r>
      <w:r>
        <w:t xml:space="preserve">Peak demand occurs Q1–Q3 (April–September), coinciding with London's property market activity cycle. Our Sales Report shows a 40% seasonal surge in August due to summer renovation projects.</w:t>
      </w:r>
    </w:p>
    <w:bookmarkEnd w:id="23"/>
    <w:bookmarkStart w:id="24" w:name="Xbe5f9c1b44077b7b5f2becc4f36b18ee4715131"/>
    <w:p>
      <w:pPr>
        <w:pStyle w:val="Heading2"/>
      </w:pPr>
      <w:r>
        <w:t xml:space="preserve">V. Competitive Differentiation: Why Our Carpenter Services Lead</w:t>
      </w:r>
    </w:p>
    <w:p>
      <w:pPr>
        <w:pStyle w:val="FirstParagraph"/>
      </w:pPr>
      <w:r>
        <w:t xml:space="preserve">Unlike generic contractors, our United Kingdom London-based Carpenter enterprise delivers unique value through:</w:t>
      </w:r>
    </w:p>
    <w:p>
      <w:pPr>
        <w:numPr>
          <w:ilvl w:val="0"/>
          <w:numId w:val="1003"/>
        </w:numPr>
        <w:pStyle w:val="Compact"/>
      </w:pPr>
      <w:r>
        <w:rPr>
          <w:bCs/>
          <w:b/>
        </w:rPr>
        <w:t xml:space="preserve">Regulatory Mastery:</w:t>
      </w:r>
      <w:r>
        <w:t xml:space="preserve"> </w:t>
      </w:r>
      <w:r>
        <w:t xml:space="preserve">All projects comply with London Building Control standards and Historic England guidelines for conservation areas—eliminating costly rework.</w:t>
      </w:r>
    </w:p>
    <w:p>
      <w:pPr>
        <w:numPr>
          <w:ilvl w:val="0"/>
          <w:numId w:val="1003"/>
        </w:numPr>
        <w:pStyle w:val="Compact"/>
      </w:pPr>
      <w:r>
        <w:rPr>
          <w:bCs/>
          <w:b/>
        </w:rPr>
        <w:t xml:space="preserve">Niche Expertise:</w:t>
      </w:r>
      <w:r>
        <w:t xml:space="preserve"> </w:t>
      </w:r>
      <w:r>
        <w:t xml:space="preserve">Specialized teams for heritage carpentry (e.g., stucco moldings, timber frame repairs) and contemporary design (e.g., minimalist joinery).</w:t>
      </w:r>
    </w:p>
    <w:p>
      <w:pPr>
        <w:numPr>
          <w:ilvl w:val="0"/>
          <w:numId w:val="1003"/>
        </w:numPr>
        <w:pStyle w:val="Compact"/>
      </w:pPr>
      <w:r>
        <w:rPr>
          <w:bCs/>
          <w:b/>
        </w:rPr>
        <w:t xml:space="preserve">Logistics Advantage:</w:t>
      </w:r>
      <w:r>
        <w:t xml:space="preserve"> </w:t>
      </w:r>
      <w:r>
        <w:t xml:space="preserve">Strategic workshop in East London (near Thamesmead) reduces material transport costs by 27% versus competitors using central London facilities.</w:t>
      </w:r>
    </w:p>
    <w:bookmarkEnd w:id="24"/>
    <w:bookmarkStart w:id="25" w:name="Xbcad97ed1011811d944961fe32c4b3acc1bb427"/>
    <w:p>
      <w:pPr>
        <w:pStyle w:val="Heading2"/>
      </w:pPr>
      <w:r>
        <w:t xml:space="preserve">VI. Financial Breakdown: Sales Report Insights</w:t>
      </w:r>
    </w:p>
    <w:p>
      <w:pPr>
        <w:pStyle w:val="FirstParagraph"/>
      </w:pPr>
      <w:r>
        <w:t xml:space="preserve">Category</w:t>
      </w:r>
    </w:p>
    <w:p>
      <w:pPr>
        <w:pStyle w:val="BodyText"/>
      </w:pPr>
      <w:r>
        <w:t xml:space="preserve">Q3 2023 (£)</w:t>
      </w:r>
    </w:p>
    <w:p>
      <w:pPr>
        <w:pStyle w:val="BodyText"/>
      </w:pPr>
      <w:r>
        <w:t xml:space="preserve">% of Total Revenue</w:t>
      </w:r>
    </w:p>
    <w:p>
      <w:pPr>
        <w:pStyle w:val="BodyText"/>
      </w:pPr>
      <w:r>
        <w:t xml:space="preserve">Premium Residential Projects</w:t>
      </w:r>
    </w:p>
    <w:p>
      <w:pPr>
        <w:pStyle w:val="BodyText"/>
      </w:pPr>
      <w:r>
        <w:t xml:space="preserve">295,000</w:t>
      </w:r>
    </w:p>
    <w:p>
      <w:pPr>
        <w:pStyle w:val="BodyText"/>
      </w:pPr>
      <w:r>
        <w:t xml:space="preserve">60.5%</w:t>
      </w:r>
    </w:p>
    <w:p>
      <w:pPr>
        <w:pStyle w:val="BodyText"/>
      </w:pPr>
      <w:r>
        <w:t xml:space="preserve">Heritage Conservation</w:t>
      </w:r>
    </w:p>
    <w:p>
      <w:pPr>
        <w:pStyle w:val="BodyText"/>
      </w:pPr>
      <w:r>
        <w:t xml:space="preserve">118,250</w:t>
      </w:r>
    </w:p>
    <w:p>
      <w:pPr>
        <w:pStyle w:val="BodyText"/>
      </w:pPr>
      <w:r>
        <w:br/>
      </w:r>
    </w:p>
    <w:p>
      <w:pPr>
        <w:pStyle w:val="BodyText"/>
      </w:pPr>
      <w:r>
        <w:t xml:space="preserve">Total Revenue (Q3)</w:t>
      </w:r>
    </w:p>
    <w:p>
      <w:pPr>
        <w:pStyle w:val="BodyText"/>
      </w:pPr>
      <w:r>
        <w:t xml:space="preserve">487,500</w:t>
      </w:r>
    </w:p>
    <w:bookmarkEnd w:id="25"/>
    <w:bookmarkStart w:id="26" w:name="Xb9104f9e87a9e55cdf1857a720b06dc256c4f19"/>
    <w:p>
      <w:pPr>
        <w:pStyle w:val="Heading2"/>
      </w:pPr>
      <w:r>
        <w:t xml:space="preserve">VII. Challenges and Strategic Opportunities in London Market</w:t>
      </w:r>
    </w:p>
    <w:p>
      <w:pPr>
        <w:pStyle w:val="FirstParagraph"/>
      </w:pPr>
      <w:r>
        <w:t xml:space="preserve">The Sales Report identifies two critical challenges requiring our Carpenter team's immediate attention:</w:t>
      </w:r>
    </w:p>
    <w:p>
      <w:pPr>
        <w:numPr>
          <w:ilvl w:val="0"/>
          <w:numId w:val="1004"/>
        </w:numPr>
        <w:pStyle w:val="Compact"/>
      </w:pPr>
      <w:r>
        <w:rPr>
          <w:bCs/>
          <w:b/>
        </w:rPr>
        <w:t xml:space="preserve">Skilled Labor Shortage:</w:t>
      </w:r>
      <w:r>
        <w:t xml:space="preserve"> </w:t>
      </w:r>
      <w:r>
        <w:t xml:space="preserve">London faces a 35% deficit in qualified carpenters (CITB, 2023). Our response: launched "London Apprentice Program" with City of London College, securing 4 new trainees.</w:t>
      </w:r>
    </w:p>
    <w:p>
      <w:pPr>
        <w:numPr>
          <w:ilvl w:val="0"/>
          <w:numId w:val="1004"/>
        </w:numPr>
        <w:pStyle w:val="Compact"/>
      </w:pPr>
      <w:r>
        <w:rPr>
          <w:bCs/>
          <w:b/>
        </w:rPr>
        <w:t xml:space="preserve">Material Cost Volatility:</w:t>
      </w:r>
      <w:r>
        <w:t xml:space="preserve"> </w:t>
      </w:r>
      <w:r>
        <w:t xml:space="preserve">Timber prices surged 19% in Q3 due to EU supply chain disruptions. Mitigation: Negotiated fixed-price contracts with UK forestry partners.</w:t>
      </w:r>
    </w:p>
    <w:p>
      <w:pPr>
        <w:pStyle w:val="FirstParagraph"/>
      </w:pPr>
      <w:r>
        <w:t xml:space="preserve">Strategic opportunities identified include:</w:t>
      </w:r>
    </w:p>
    <w:p>
      <w:pPr>
        <w:numPr>
          <w:ilvl w:val="0"/>
          <w:numId w:val="1005"/>
        </w:numPr>
        <w:pStyle w:val="Compact"/>
      </w:pPr>
      <w:r>
        <w:rPr>
          <w:bCs/>
          <w:b/>
        </w:rPr>
        <w:t xml:space="preserve">Government Incentives:</w:t>
      </w:r>
      <w:r>
        <w:t xml:space="preserve"> </w:t>
      </w:r>
      <w:r>
        <w:t xml:space="preserve">Capitalizing on London Mayor's "Green Homes Grant" for sustainable carpentry upgrades (projected £120k revenue potential).</w:t>
      </w:r>
    </w:p>
    <w:p>
      <w:pPr>
        <w:numPr>
          <w:ilvl w:val="0"/>
          <w:numId w:val="1005"/>
        </w:numPr>
        <w:pStyle w:val="Compact"/>
      </w:pPr>
      <w:r>
        <w:rPr>
          <w:bCs/>
          <w:b/>
        </w:rPr>
        <w:t xml:space="preserve">Commercial Sector Expansion:</w:t>
      </w:r>
      <w:r>
        <w:t xml:space="preserve"> </w:t>
      </w:r>
      <w:r>
        <w:t xml:space="preserve">Targeting co-working space developers in Shoreditch and Tech City—accounting for 23% of new leads.</w:t>
      </w:r>
    </w:p>
    <w:bookmarkEnd w:id="26"/>
    <w:bookmarkStart w:id="27" w:name="X66102176343b0350b6cb6c37af690b20437879f"/>
    <w:p>
      <w:pPr>
        <w:pStyle w:val="Heading2"/>
      </w:pPr>
      <w:r>
        <w:t xml:space="preserve">VIII. Conclusion: The Future of Carpenter Services in United Kingdom London</w:t>
      </w:r>
    </w:p>
    <w:p>
      <w:pPr>
        <w:pStyle w:val="FirstParagraph"/>
      </w:pPr>
      <w:r>
        <w:t xml:space="preserve">This Sales Report unequivocally demonstrates that our Carpenter enterprise has become a vital catalyst for London's built environment evolution. By relentlessly focusing on United Kingdom London's unique market dynamics—combining heritage preservation with modern luxury—we've positioned ourselves as the preferred Partner for discerning property owners and developers. The 22.4% quarterly sales growth validates our strategy of deepening local expertise while adhering to UK regulatory standards.</w:t>
      </w:r>
    </w:p>
    <w:p>
      <w:pPr>
        <w:pStyle w:val="BodyText"/>
      </w:pPr>
      <w:r>
        <w:t xml:space="preserve">Looking ahead, we will prioritize:</w:t>
      </w:r>
    </w:p>
    <w:p>
      <w:pPr>
        <w:numPr>
          <w:ilvl w:val="0"/>
          <w:numId w:val="1006"/>
        </w:numPr>
        <w:pStyle w:val="Compact"/>
      </w:pPr>
      <w:r>
        <w:t xml:space="preserve">Expanding heritage conservation services (target: +30% market share in listed properties by Q1 2024)</w:t>
      </w:r>
    </w:p>
    <w:p>
      <w:pPr>
        <w:numPr>
          <w:ilvl w:val="0"/>
          <w:numId w:val="1006"/>
        </w:numPr>
        <w:pStyle w:val="Compact"/>
      </w:pPr>
      <w:r>
        <w:t xml:space="preserve">Developing a digital client portal for real-time project tracking—addressing London's demand for transparency</w:t>
      </w:r>
    </w:p>
    <w:p>
      <w:pPr>
        <w:numPr>
          <w:ilvl w:val="0"/>
          <w:numId w:val="1006"/>
        </w:numPr>
        <w:pStyle w:val="Compact"/>
      </w:pPr>
      <w:r>
        <w:t xml:space="preserve">Partnering with Royal Institute of British Architects (RIBA) London to co-create sustainable carpentry guidelines</w:t>
      </w:r>
    </w:p>
    <w:p>
      <w:pPr>
        <w:pStyle w:val="FirstParagraph"/>
      </w:pPr>
      <w:r>
        <w:t xml:space="preserve">In conclusion, this Sales Report affirms that our Carpenter team isn't merely delivering services—they're shaping London's architectural identity. As the United Kingdom's capital continues its transformation, our commitment to craftsmanship excellence ensures that every timber frame we install becomes a legacy of quality in the heart of London.</w:t>
      </w:r>
    </w:p>
    <w:p>
      <w:pPr>
        <w:pStyle w:val="BodyText"/>
      </w:pPr>
      <w:r>
        <w:rPr>
          <w:bCs/>
          <w:b/>
        </w:rPr>
        <w:t xml:space="preserve">Prepared By:</w:t>
      </w:r>
      <w:r>
        <w:t xml:space="preserve"> </w:t>
      </w:r>
      <w:r>
        <w:t xml:space="preserve">Alex Morgan, Sales Director</w:t>
      </w:r>
      <w:r>
        <w:br/>
      </w:r>
      <w:r>
        <w:rPr>
          <w:bCs/>
          <w:b/>
        </w:rPr>
        <w:t xml:space="preserve">Company:</w:t>
      </w:r>
      <w:r>
        <w:t xml:space="preserve"> </w:t>
      </w:r>
      <w:r>
        <w:t xml:space="preserve">Heritage Woodcraft London Ltd.</w:t>
      </w:r>
      <w:r>
        <w:br/>
      </w:r>
      <w:r>
        <w:rPr>
          <w:bCs/>
          <w:b/>
        </w:rPr>
        <w:t xml:space="preserve">Contact:</w:t>
      </w:r>
      <w:r>
        <w:t xml:space="preserve"> </w:t>
      </w:r>
      <w:r>
        <w:t xml:space="preserve">alex.morgan@heritagewoodcraftlondon.co.uk | +44 20 7946 1234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Carpenter Services in United Kingdom London</dc:title>
  <dc:creator/>
  <dc:language>en</dc:language>
  <cp:keywords/>
  <dcterms:created xsi:type="dcterms:W3CDTF">2025-12-10T07:53:58Z</dcterms:created>
  <dcterms:modified xsi:type="dcterms:W3CDTF">2025-12-10T07:53:58Z</dcterms:modified>
</cp:coreProperties>
</file>

<file path=docProps/custom.xml><?xml version="1.0" encoding="utf-8"?>
<Properties xmlns="http://schemas.openxmlformats.org/officeDocument/2006/custom-properties" xmlns:vt="http://schemas.openxmlformats.org/officeDocument/2006/docPropsVTypes"/>
</file>