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Market</w:t>
      </w:r>
      <w:r>
        <w:t xml:space="preserve"> </w:t>
      </w:r>
      <w:r>
        <w:t xml:space="preserve">Analysis</w:t>
      </w:r>
    </w:p>
    <w:bookmarkStart w:id="27" w:name="Xb3839544ab67bdbec0c4b6825d3b3da51184ac3"/>
    <w:p>
      <w:pPr>
        <w:pStyle w:val="Heading1"/>
      </w:pPr>
      <w:r>
        <w:t xml:space="preserve">Comprehensive Sales Report: Carpenter Services Performance in United Kingdom Manchester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United Kingdom Manchester Carpenter Operations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Carpenter services across the United Kingdom Manchester market during Q3 2023. The period demonstrated robust growth with a 17.4% year-over-year increase in completed projects, driven by heightened demand for residential renovations and commercial fit-outs in key Manchester districts. Our skilled Carpenter teams delivered exceptional client satisfaction (96% positive feedback), reinforcing our position as a leading service provider within United Kingdom Manchester's construction landscape. This report outlines key achievements, market dynamics, challenges encountered, and strategic recommendations for sustained growth.</w:t>
      </w:r>
    </w:p>
    <w:bookmarkEnd w:id="20"/>
    <w:bookmarkStart w:id="21" w:name="q3-2023-sales-performance-analysis"/>
    <w:p>
      <w:pPr>
        <w:pStyle w:val="Heading2"/>
      </w:pPr>
      <w:r>
        <w:t xml:space="preserve">Q3 2023 Sales Performance Analysis</w:t>
      </w:r>
    </w:p>
    <w:p>
      <w:pPr>
        <w:pStyle w:val="FirstParagraph"/>
      </w:pPr>
      <w:r>
        <w:t xml:space="preserve">The Carpenter division in United Kingdom Manchester achieved significant milestones during Q3:</w:t>
      </w:r>
    </w:p>
    <w:p>
      <w:pPr>
        <w:numPr>
          <w:ilvl w:val="0"/>
          <w:numId w:val="1001"/>
        </w:numPr>
        <w:pStyle w:val="Compact"/>
      </w:pPr>
      <w:r>
        <w:rPr>
          <w:bCs/>
          <w:b/>
        </w:rPr>
        <w:t xml:space="preserve">Total Projects Completed:</w:t>
      </w:r>
      <w:r>
        <w:t xml:space="preserve"> </w:t>
      </w:r>
      <w:r>
        <w:t xml:space="preserve">148 (Up from 126 YoY)</w:t>
      </w:r>
    </w:p>
    <w:p>
      <w:pPr>
        <w:numPr>
          <w:ilvl w:val="0"/>
          <w:numId w:val="1001"/>
        </w:numPr>
        <w:pStyle w:val="Compact"/>
      </w:pPr>
      <w:r>
        <w:rPr>
          <w:bCs/>
          <w:b/>
        </w:rPr>
        <w:t xml:space="preserve">Revenue Generated:</w:t>
      </w:r>
      <w:r>
        <w:t xml:space="preserve"> </w:t>
      </w:r>
      <w:r>
        <w:t xml:space="preserve">£238,500 (17.4% increase over Q3 2022)</w:t>
      </w:r>
    </w:p>
    <w:p>
      <w:pPr>
        <w:numPr>
          <w:ilvl w:val="0"/>
          <w:numId w:val="1001"/>
        </w:numPr>
        <w:pStyle w:val="Compact"/>
      </w:pPr>
      <w:r>
        <w:rPr>
          <w:bCs/>
          <w:b/>
        </w:rPr>
        <w:t xml:space="preserve">Average Project Value:</w:t>
      </w:r>
      <w:r>
        <w:t xml:space="preserve"> </w:t>
      </w:r>
      <w:r>
        <w:t xml:space="preserve">£1,611 (Up 8.9% from prior year)</w:t>
      </w:r>
    </w:p>
    <w:p>
      <w:pPr>
        <w:numPr>
          <w:ilvl w:val="0"/>
          <w:numId w:val="1001"/>
        </w:numPr>
        <w:pStyle w:val="Compact"/>
      </w:pPr>
      <w:r>
        <w:rPr>
          <w:bCs/>
          <w:b/>
        </w:rPr>
        <w:t xml:space="preserve">New Client Acquisition:</w:t>
      </w:r>
      <w:r>
        <w:t xml:space="preserve"> </w:t>
      </w:r>
      <w:r>
        <w:t xml:space="preserve">35 new residential and commercial contracts (24% of total projects)</w:t>
      </w:r>
    </w:p>
    <w:p>
      <w:pPr>
        <w:numPr>
          <w:ilvl w:val="0"/>
          <w:numId w:val="1001"/>
        </w:numPr>
        <w:pStyle w:val="Compact"/>
      </w:pPr>
      <w:r>
        <w:rPr>
          <w:bCs/>
          <w:b/>
        </w:rPr>
        <w:t xml:space="preserve">Repeat Client Rate:</w:t>
      </w:r>
      <w:r>
        <w:t xml:space="preserve"> </w:t>
      </w:r>
      <w:r>
        <w:t xml:space="preserve">42% (Consistent with Q2, indicating strong client loyalty)</w:t>
      </w:r>
    </w:p>
    <w:p>
      <w:pPr>
        <w:pStyle w:val="FirstParagraph"/>
      </w:pPr>
      <w:r>
        <w:t xml:space="preserve">The most significant growth occurred in two sectors:</w:t>
      </w:r>
      <w:r>
        <w:t xml:space="preserve"> </w:t>
      </w:r>
      <w:r>
        <w:rPr>
          <w:iCs/>
          <w:i/>
        </w:rPr>
        <w:t xml:space="preserve">period property renovations</w:t>
      </w:r>
      <w:r>
        <w:t xml:space="preserve"> </w:t>
      </w:r>
      <w:r>
        <w:t xml:space="preserve">(up 28% YoY) and</w:t>
      </w:r>
      <w:r>
        <w:t xml:space="preserve"> </w:t>
      </w:r>
      <w:r>
        <w:rPr>
          <w:iCs/>
          <w:i/>
        </w:rPr>
        <w:t xml:space="preserve">commercial workspace modifications</w:t>
      </w:r>
      <w:r>
        <w:t xml:space="preserve"> </w:t>
      </w:r>
      <w:r>
        <w:t xml:space="preserve">(up 19% YoY). Manchester's unique housing stock—particularly Victorian and Edwardian properties in areas like Chorlton, Rusholme, and Fallowfield—fuels demand for specialist Carpenter services requiring historical accuracy and bespoke joinery.</w:t>
      </w:r>
    </w:p>
    <w:bookmarkEnd w:id="21"/>
    <w:bookmarkStart w:id="22" w:name="X8a29281ca52381b454abb5b169c730862a25fac"/>
    <w:p>
      <w:pPr>
        <w:pStyle w:val="Heading2"/>
      </w:pPr>
      <w:r>
        <w:t xml:space="preserve">Market Insights: United Kingdom Manchester Context</w:t>
      </w:r>
    </w:p>
    <w:p>
      <w:pPr>
        <w:pStyle w:val="FirstParagraph"/>
      </w:pPr>
      <w:r>
        <w:t xml:space="preserve">The Manchester market continues to outperform national averages. Key factors influencing Carpenter demand include:</w:t>
      </w:r>
    </w:p>
    <w:p>
      <w:pPr>
        <w:numPr>
          <w:ilvl w:val="0"/>
          <w:numId w:val="1002"/>
        </w:numPr>
        <w:pStyle w:val="Compact"/>
      </w:pPr>
      <w:r>
        <w:rPr>
          <w:bCs/>
          <w:b/>
        </w:rPr>
        <w:t xml:space="preserve">Post-Pandemic Housing Boom:</w:t>
      </w:r>
      <w:r>
        <w:t xml:space="preserve"> </w:t>
      </w:r>
      <w:r>
        <w:t xml:space="preserve">With the UK housing shortage intensifying, Manchester saw a 12% increase in property transactions (UK Land Registry, Q3 2023), directly boosting renovation and extension projects where Carpenter expertise is essential.</w:t>
      </w:r>
    </w:p>
    <w:p>
      <w:pPr>
        <w:numPr>
          <w:ilvl w:val="0"/>
          <w:numId w:val="1002"/>
        </w:numPr>
        <w:pStyle w:val="Compact"/>
      </w:pPr>
      <w:r>
        <w:rPr>
          <w:bCs/>
          <w:b/>
        </w:rPr>
        <w:t xml:space="preserve">Government Initiatives:</w:t>
      </w:r>
      <w:r>
        <w:t xml:space="preserve"> </w:t>
      </w:r>
      <w:r>
        <w:t xml:space="preserve">The UK's "Home Repair Grant" program specifically supports energy-efficient upgrades. Our Carpenter teams successfully integrated Part L compliance into 78% of projects, a key selling point for clients seeking sustainable renovations in United Kingdom Manchester.</w:t>
      </w:r>
    </w:p>
    <w:p>
      <w:pPr>
        <w:numPr>
          <w:ilvl w:val="0"/>
          <w:numId w:val="1002"/>
        </w:numPr>
        <w:pStyle w:val="Compact"/>
      </w:pPr>
      <w:r>
        <w:rPr>
          <w:bCs/>
          <w:b/>
        </w:rPr>
        <w:t xml:space="preserve">Commercial Resurgence:</w:t>
      </w:r>
      <w:r>
        <w:t xml:space="preserve"> </w:t>
      </w:r>
      <w:r>
        <w:t xml:space="preserve">The city’s central business district (CBD) experienced a 35% rise in office fit-out requests. Our Carpenter services were pivotal in delivering high-quality interior installations for new co-working spaces and tech startups across Deansgate and Spinningfields.</w:t>
      </w:r>
    </w:p>
    <w:bookmarkEnd w:id="22"/>
    <w:bookmarkStart w:id="23" w:name="key-challenges-solutions"/>
    <w:p>
      <w:pPr>
        <w:pStyle w:val="Heading2"/>
      </w:pPr>
      <w:r>
        <w:t xml:space="preserve">Key Challenges &amp; Solutions</w:t>
      </w:r>
    </w:p>
    <w:p>
      <w:pPr>
        <w:pStyle w:val="FirstParagraph"/>
      </w:pPr>
      <w:r>
        <w:t xml:space="preserve">Despite strong performance, two critical challenges emerged in United Kingdom Manchester:</w:t>
      </w:r>
    </w:p>
    <w:p>
      <w:pPr>
        <w:numPr>
          <w:ilvl w:val="0"/>
          <w:numId w:val="1003"/>
        </w:numPr>
        <w:pStyle w:val="Compact"/>
      </w:pPr>
      <w:r>
        <w:rPr>
          <w:bCs/>
          <w:b/>
        </w:rPr>
        <w:t xml:space="preserve">Material Supply Chain Delays:</w:t>
      </w:r>
      <w:r>
        <w:t xml:space="preserve"> </w:t>
      </w:r>
      <w:r>
        <w:t xml:space="preserve">Timber shortages impacted project timelines by 1-3 weeks. Our solution: Partnered with two UK-based sustainable timber suppliers (based in Yorkshire and North West), securing priority access for Manchester projects. This reduced delays by 65% in Q4.</w:t>
      </w:r>
    </w:p>
    <w:p>
      <w:pPr>
        <w:numPr>
          <w:ilvl w:val="0"/>
          <w:numId w:val="1003"/>
        </w:numPr>
        <w:pStyle w:val="Compact"/>
      </w:pPr>
      <w:r>
        <w:rPr>
          <w:bCs/>
          <w:b/>
        </w:rPr>
        <w:t xml:space="preserve">Competition from National Chains:</w:t>
      </w:r>
      <w:r>
        <w:t xml:space="preserve"> </w:t>
      </w:r>
      <w:r>
        <w:t xml:space="preserve">Large national firms undercut local prices on small jobs. Our strategy: Emphasized our Carpenter's local knowledge of Manchester’s building codes and heritage conservation requirements, positioning us as the specialist for complex, high-value work rather than low-cost volume projects.</w:t>
      </w:r>
    </w:p>
    <w:bookmarkEnd w:id="23"/>
    <w:bookmarkStart w:id="24" w:name="client-feedback-service-excellence"/>
    <w:p>
      <w:pPr>
        <w:pStyle w:val="Heading2"/>
      </w:pPr>
      <w:r>
        <w:t xml:space="preserve">Client Feedback &amp; Service Excellence</w:t>
      </w:r>
    </w:p>
    <w:p>
      <w:pPr>
        <w:pStyle w:val="FirstParagraph"/>
      </w:pPr>
      <w:r>
        <w:t xml:space="preserve">Client testimonials from United Kingdom Manchester underscored our Carpenter's value:</w:t>
      </w:r>
    </w:p>
    <w:p>
      <w:pPr>
        <w:pStyle w:val="BlockText"/>
      </w:pPr>
      <w:r>
        <w:t xml:space="preserve">"The Carpenter team understood the unique challenges of renovating our 1905 terraced home in Moss Side. Their attention to period-accurate joinery was exceptional – they truly 'got' Manchester's architectural heritage." – Sarah K., Residential Client, Manchester (August 2023)</w:t>
      </w:r>
    </w:p>
    <w:p>
      <w:pPr>
        <w:pStyle w:val="BlockText"/>
      </w:pPr>
      <w:r>
        <w:t xml:space="preserve">"For our new office space in Salford Quays, the Carpenter’s precision on bespoke shelving and reception structures saved us significant time versus other contractors. They delivered within budget and met all UK Building Regulations." – James T., Commercial Client, Manchester (September 2023)</w:t>
      </w:r>
    </w:p>
    <w:bookmarkEnd w:id="24"/>
    <w:bookmarkStart w:id="25" w:name="strategic-recommendations-for-q4-beyond"/>
    <w:p>
      <w:pPr>
        <w:pStyle w:val="Heading2"/>
      </w:pPr>
      <w:r>
        <w:t xml:space="preserve">Strategic Recommendations for Q4 &amp; Beyond</w:t>
      </w:r>
    </w:p>
    <w:p>
      <w:pPr>
        <w:pStyle w:val="FirstParagraph"/>
      </w:pPr>
      <w:r>
        <w:t xml:space="preserve">To capitalize on Manchester’s growth trajectory, we recommend:</w:t>
      </w:r>
    </w:p>
    <w:p>
      <w:pPr>
        <w:numPr>
          <w:ilvl w:val="0"/>
          <w:numId w:val="1004"/>
        </w:numPr>
        <w:pStyle w:val="Compact"/>
      </w:pPr>
      <w:r>
        <w:rPr>
          <w:bCs/>
          <w:b/>
        </w:rPr>
        <w:t xml:space="preserve">Expand Heritage Specialist Team:</w:t>
      </w:r>
      <w:r>
        <w:t xml:space="preserve"> </w:t>
      </w:r>
      <w:r>
        <w:t xml:space="preserve">Hire 1 additional Carpenter with specific training in Grade II listed properties to address the 32% YoY growth in historic property work across United Kingdom Manchester.</w:t>
      </w:r>
    </w:p>
    <w:p>
      <w:pPr>
        <w:numPr>
          <w:ilvl w:val="0"/>
          <w:numId w:val="1004"/>
        </w:numPr>
        <w:pStyle w:val="Compact"/>
      </w:pPr>
      <w:r>
        <w:rPr>
          <w:bCs/>
          <w:b/>
        </w:rPr>
        <w:t xml:space="preserve">Leverage Local Partnerships:</w:t>
      </w:r>
      <w:r>
        <w:t xml:space="preserve"> </w:t>
      </w:r>
      <w:r>
        <w:t xml:space="preserve">Formalize collaborations with Manchester City Council’s Conservation Department and local estate agents (e.g., Savills, Knight Frank) for priority project referrals.</w:t>
      </w:r>
    </w:p>
    <w:p>
      <w:pPr>
        <w:numPr>
          <w:ilvl w:val="0"/>
          <w:numId w:val="1004"/>
        </w:numPr>
        <w:pStyle w:val="Compact"/>
      </w:pPr>
      <w:r>
        <w:rPr>
          <w:bCs/>
          <w:b/>
        </w:rPr>
        <w:t xml:space="preserve">Digital Client Onboarding:</w:t>
      </w:r>
      <w:r>
        <w:t xml:space="preserve"> </w:t>
      </w:r>
      <w:r>
        <w:t xml:space="preserve">Implement a streamlined digital quoting platform tailored to Manchester’s property types, reducing quote turnaround from 48 hours to under 24 hours – a key differentiator in competitive markets.</w:t>
      </w:r>
    </w:p>
    <w:p>
      <w:pPr>
        <w:numPr>
          <w:ilvl w:val="0"/>
          <w:numId w:val="1004"/>
        </w:numPr>
        <w:pStyle w:val="Compact"/>
      </w:pPr>
      <w:r>
        <w:rPr>
          <w:bCs/>
          <w:b/>
        </w:rPr>
        <w:t xml:space="preserve">Sustainability Certification:</w:t>
      </w:r>
      <w:r>
        <w:t xml:space="preserve"> </w:t>
      </w:r>
      <w:r>
        <w:t xml:space="preserve">Pursue BREEAM accreditation for Carpenter projects to align with Manchester City Council’s 2030 carbon-neutral target and appeal to eco-conscious clients.</w:t>
      </w:r>
    </w:p>
    <w:bookmarkEnd w:id="25"/>
    <w:bookmarkStart w:id="26" w:name="conclusion"/>
    <w:p>
      <w:pPr>
        <w:pStyle w:val="Heading2"/>
      </w:pPr>
      <w:r>
        <w:t xml:space="preserve">Conclusion</w:t>
      </w:r>
    </w:p>
    <w:p>
      <w:pPr>
        <w:pStyle w:val="FirstParagraph"/>
      </w:pPr>
      <w:r>
        <w:t xml:space="preserve">The Q3 2023 Sales Report confirms that our Carpenter services are exceptionally well-positioned within the United Kingdom Manchester market. By combining technical excellence, deep local market understanding, and responsive service delivery, we have not only met but exceeded growth targets. The consistent demand for skilled Carpenter work – particularly in Manchester’s unique residential and commercial sectors – validates our strategic focus on quality over volume. As the city continues its transformation as a UK economic hub, our Carpenter division is poised to capture further market share through targeted investments in heritage expertise, sustainability, and client-centric technology. We project a 20% revenue increase for Q4 2023 based on current pipeline strength and Manchester's sustained construction momentum.</w:t>
      </w:r>
    </w:p>
    <w:p>
      <w:pPr>
        <w:pStyle w:val="BodyText"/>
      </w:pPr>
      <w:r>
        <w:rPr>
          <w:bCs/>
          <w:b/>
        </w:rPr>
        <w:t xml:space="preserve">Prepared By:</w:t>
      </w:r>
      <w:r>
        <w:t xml:space="preserve"> </w:t>
      </w:r>
      <w:r>
        <w:t xml:space="preserve">Manchester Operations Team</w:t>
      </w:r>
      <w:r>
        <w:br/>
      </w:r>
      <w:r>
        <w:rPr>
          <w:bCs/>
          <w:b/>
        </w:rPr>
        <w:t xml:space="preserve">Company:</w:t>
      </w:r>
      <w:r>
        <w:t xml:space="preserve"> </w:t>
      </w:r>
      <w:r>
        <w:t xml:space="preserve">Precision Joinery Solutions Ltd (A UK Registered Carpenter Business)</w:t>
      </w:r>
      <w:r>
        <w:br/>
      </w:r>
      <w:r>
        <w:rPr>
          <w:bCs/>
          <w:b/>
        </w:rPr>
        <w:t xml:space="preserve">Contact:</w:t>
      </w:r>
      <w:r>
        <w:t xml:space="preserve"> </w:t>
      </w:r>
      <w:r>
        <w:t xml:space="preserve">sales@precisionjoinerymanchester.co.uk | +44 161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Carpenter Sales Report | United Kingdom Market Analysis</dc:title>
  <dc:creator/>
  <dc:language>en</dc:language>
  <cp:keywords/>
  <dcterms:created xsi:type="dcterms:W3CDTF">2026-07-23T23:17:32Z</dcterms:created>
  <dcterms:modified xsi:type="dcterms:W3CDTF">2026-07-23T23:17:32Z</dcterms:modified>
</cp:coreProperties>
</file>

<file path=docProps/custom.xml><?xml version="1.0" encoding="utf-8"?>
<Properties xmlns="http://schemas.openxmlformats.org/officeDocument/2006/custom-properties" xmlns:vt="http://schemas.openxmlformats.org/officeDocument/2006/docPropsVTypes"/>
</file>