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Miami</w:t>
      </w:r>
      <w:r>
        <w:t xml:space="preserve"> </w:t>
      </w:r>
      <w:r>
        <w:t xml:space="preserve">Carpenter</w:t>
      </w:r>
      <w:r>
        <w:t xml:space="preserve"> </w:t>
      </w:r>
      <w:r>
        <w:t xml:space="preserve">Services</w:t>
      </w:r>
    </w:p>
    <w:bookmarkStart w:id="28" w:name="X12d9c9ab234713c8797a493f2ae33d11b6ff8fc"/>
    <w:p>
      <w:pPr>
        <w:pStyle w:val="Heading1"/>
      </w:pPr>
      <w:r>
        <w:t xml:space="preserve">SALES REPORT FOR MIAMI CARPENTER SERVICES</w:t>
      </w:r>
    </w:p>
    <w:bookmarkStart w:id="20" w:name="X0bb46cbe67dfc1ff7e5abc8ca7fd3b6741a25f4"/>
    <w:p>
      <w:pPr>
        <w:pStyle w:val="Heading2"/>
      </w:pPr>
      <w:r>
        <w:t xml:space="preserve">Q3 2023 Performance Analysis in the United States Miami Market</w:t>
      </w:r>
    </w:p>
    <w:p>
      <w:pPr>
        <w:pStyle w:val="FirstParagraph"/>
      </w:pPr>
      <w:r>
        <w:t xml:space="preserve">This comprehensive Sales Report details the operational and financial performance of our premier carpentry services business across the United States Miami market during Q3 2023. As a leading</w:t>
      </w:r>
      <w:r>
        <w:t xml:space="preserve"> </w:t>
      </w:r>
      <w:r>
        <w:rPr>
          <w:bCs/>
          <w:b/>
        </w:rPr>
        <w:t xml:space="preserve">Carpenter</w:t>
      </w:r>
      <w:r>
        <w:t xml:space="preserve"> </w:t>
      </w:r>
      <w:r>
        <w:t xml:space="preserve">service provider specializing in residential and commercial woodworking solutions, we've witnessed significant growth trajectory within Miami's dynamic construction and renovation landscape. This document serves as both an analytical review and strategic roadmap for our continued expansion in the vibrant Miami market.</w:t>
      </w:r>
    </w:p>
    <w:bookmarkEnd w:id="20"/>
    <w:bookmarkStart w:id="21" w:name="executive-summary"/>
    <w:p>
      <w:pPr>
        <w:pStyle w:val="Heading2"/>
      </w:pPr>
      <w:r>
        <w:t xml:space="preserve">Executive Summary</w:t>
      </w:r>
    </w:p>
    <w:p>
      <w:pPr>
        <w:pStyle w:val="FirstParagraph"/>
      </w:pPr>
      <w:r>
        <w:t xml:space="preserve">The Miami Carpenter Services division achieved a remarkable 38% year-over-year sales growth in Q3, generating $487,500 in revenue compared to $353,100 in the same period last year. This performance significantly outpaces the United States national average for construction services (12%) and positions us as Miami's fastest-growing</w:t>
      </w:r>
      <w:r>
        <w:t xml:space="preserve"> </w:t>
      </w:r>
      <w:r>
        <w:rPr>
          <w:bCs/>
          <w:b/>
        </w:rPr>
        <w:t xml:space="preserve">Carpenter</w:t>
      </w:r>
      <w:r>
        <w:t xml:space="preserve"> </w:t>
      </w:r>
      <w:r>
        <w:t xml:space="preserve">business. Key drivers include increased demand for custom woodwork following Hurricane Ian recovery efforts and our strategic partnerships with major Miami developers. Our Sales Report confirms that targeted marketing in United States Miami neighborhoods like Brickell, Coconut Grove, and Wynwood directly contributed to this success.</w:t>
      </w:r>
    </w:p>
    <w:bookmarkEnd w:id="21"/>
    <w:bookmarkStart w:id="22" w:name="market-performance-breakdown"/>
    <w:p>
      <w:pPr>
        <w:pStyle w:val="Heading2"/>
      </w:pPr>
      <w:r>
        <w:t xml:space="preserve">Market Performance Breakdown</w:t>
      </w:r>
    </w:p>
    <w:p>
      <w:pPr>
        <w:pStyle w:val="FirstParagraph"/>
      </w:pPr>
      <w:r>
        <w:t xml:space="preserve">Our sales data reveals three dominant revenue streams in the United States Miami market:</w:t>
      </w:r>
    </w:p>
    <w:p>
      <w:pPr>
        <w:numPr>
          <w:ilvl w:val="0"/>
          <w:numId w:val="1001"/>
        </w:numPr>
        <w:pStyle w:val="Compact"/>
      </w:pPr>
      <w:r>
        <w:rPr>
          <w:bCs/>
          <w:b/>
        </w:rPr>
        <w:t xml:space="preserve">Residential Renovations (48% of sales):</w:t>
      </w:r>
      <w:r>
        <w:t xml:space="preserve"> </w:t>
      </w:r>
      <w:r>
        <w:t xml:space="preserve">$234,000 generated from high-end home upgrades in areas like Coral Gables and South Beach. The surge in demand for hurricane-resistant woodwork solutions drove 52% of these contracts.</w:t>
      </w:r>
    </w:p>
    <w:p>
      <w:pPr>
        <w:numPr>
          <w:ilvl w:val="0"/>
          <w:numId w:val="1001"/>
        </w:numPr>
        <w:pStyle w:val="Compact"/>
      </w:pPr>
      <w:r>
        <w:rPr>
          <w:bCs/>
          <w:b/>
        </w:rPr>
        <w:t xml:space="preserve">Commercial Construction (35% of sales):</w:t>
      </w:r>
      <w:r>
        <w:t xml:space="preserve"> </w:t>
      </w:r>
      <w:r>
        <w:t xml:space="preserve">$170,625 secured through partnerships with Miami-based developers including AECOM and Related Group. Specialized projects included custom millwork for the new Brickell City Centre expansion.</w:t>
      </w:r>
    </w:p>
    <w:p>
      <w:pPr>
        <w:numPr>
          <w:ilvl w:val="0"/>
          <w:numId w:val="1001"/>
        </w:numPr>
        <w:pStyle w:val="Compact"/>
      </w:pPr>
      <w:r>
        <w:rPr>
          <w:bCs/>
          <w:b/>
        </w:rPr>
        <w:t xml:space="preserve">Restoration Services (17% of sales):</w:t>
      </w:r>
      <w:r>
        <w:t xml:space="preserve"> </w:t>
      </w:r>
      <w:r>
        <w:t xml:space="preserve">$82,875 focused on post-disaster reconstruction in neighborhoods affected by recent weather events. Our Miami</w:t>
      </w:r>
      <w:r>
        <w:t xml:space="preserve"> </w:t>
      </w:r>
      <w:r>
        <w:rPr>
          <w:bCs/>
          <w:b/>
        </w:rPr>
        <w:t xml:space="preserve">Carpenter</w:t>
      </w:r>
      <w:r>
        <w:t xml:space="preserve"> </w:t>
      </w:r>
      <w:r>
        <w:t xml:space="preserve">team completed 42 emergency restoration projects during Q3.</w:t>
      </w:r>
    </w:p>
    <w:bookmarkEnd w:id="22"/>
    <w:bookmarkStart w:id="23" w:name="miami-specific-market-dynamics"/>
    <w:p>
      <w:pPr>
        <w:pStyle w:val="Heading2"/>
      </w:pPr>
      <w:r>
        <w:t xml:space="preserve">Miami-Specific Market Dynamics</w:t>
      </w:r>
    </w:p>
    <w:p>
      <w:pPr>
        <w:pStyle w:val="FirstParagraph"/>
      </w:pPr>
      <w:r>
        <w:t xml:space="preserve">The United States Miami market presents unique opportunities and challenges that directly impact our</w:t>
      </w:r>
      <w:r>
        <w:t xml:space="preserve"> </w:t>
      </w:r>
      <w:r>
        <w:rPr>
          <w:bCs/>
          <w:b/>
        </w:rPr>
        <w:t xml:space="preserve">Carpenter</w:t>
      </w:r>
      <w:r>
        <w:t xml:space="preserve"> </w:t>
      </w:r>
      <w:r>
        <w:t xml:space="preserve">operations. Key observations from this Sales Report include:</w:t>
      </w:r>
    </w:p>
    <w:p>
      <w:pPr>
        <w:numPr>
          <w:ilvl w:val="0"/>
          <w:numId w:val="1002"/>
        </w:numPr>
        <w:pStyle w:val="Compact"/>
      </w:pPr>
      <w:r>
        <w:rPr>
          <w:bCs/>
          <w:b/>
        </w:rPr>
        <w:t xml:space="preserve">Seasonal Demand Peaks:</w:t>
      </w:r>
      <w:r>
        <w:t xml:space="preserve"> </w:t>
      </w:r>
      <w:r>
        <w:t xml:space="preserve">68% of residential contracts closed in August-September, correlating with Miami's pre-hurricane season preparation period.</w:t>
      </w:r>
    </w:p>
    <w:p>
      <w:pPr>
        <w:numPr>
          <w:ilvl w:val="0"/>
          <w:numId w:val="1002"/>
        </w:numPr>
        <w:pStyle w:val="Compact"/>
      </w:pPr>
      <w:r>
        <w:rPr>
          <w:bCs/>
          <w:b/>
        </w:rPr>
        <w:t xml:space="preserve">Cultural Preferences:</w:t>
      </w:r>
      <w:r>
        <w:t xml:space="preserve"> </w:t>
      </w:r>
      <w:r>
        <w:t xml:space="preserve">Hispanic and South Asian homeowners (37% of our client base) prefer traditional wood finishes like teak and mahogany, influencing our material procurement strategy.</w:t>
      </w:r>
    </w:p>
    <w:p>
      <w:pPr>
        <w:numPr>
          <w:ilvl w:val="0"/>
          <w:numId w:val="1002"/>
        </w:numPr>
        <w:pStyle w:val="Compact"/>
      </w:pPr>
      <w:r>
        <w:rPr>
          <w:bCs/>
          <w:b/>
        </w:rPr>
        <w:t xml:space="preserve">Regulatory Environment:</w:t>
      </w:r>
      <w:r>
        <w:t xml:space="preserve"> </w:t>
      </w:r>
      <w:r>
        <w:t xml:space="preserve">Miami-Dade County's updated building codes (effective July 2023) increased demand for certified waterproof wood treatments, creating a new $120k revenue stream for our certified</w:t>
      </w:r>
      <w:r>
        <w:t xml:space="preserve"> </w:t>
      </w:r>
      <w:r>
        <w:rPr>
          <w:bCs/>
          <w:b/>
        </w:rPr>
        <w:t xml:space="preserve">Carpenter</w:t>
      </w:r>
      <w:r>
        <w:t xml:space="preserve"> </w:t>
      </w:r>
      <w:r>
        <w:t xml:space="preserve">technicians.</w:t>
      </w:r>
    </w:p>
    <w:bookmarkEnd w:id="23"/>
    <w:bookmarkStart w:id="24" w:name="operational-insights-from-the-field"/>
    <w:p>
      <w:pPr>
        <w:pStyle w:val="Heading2"/>
      </w:pPr>
      <w:r>
        <w:t xml:space="preserve">Operational Insights from the Field</w:t>
      </w:r>
    </w:p>
    <w:p>
      <w:pPr>
        <w:pStyle w:val="FirstParagraph"/>
      </w:pPr>
      <w:r>
        <w:t xml:space="preserve">Our Miami-based field teams provided critical on-the-ground data for this Sales Report. The most significant operational findings include:</w:t>
      </w:r>
    </w:p>
    <w:p>
      <w:pPr>
        <w:pStyle w:val="BodyText"/>
      </w:pPr>
      <w:r>
        <w:rPr>
          <w:bCs/>
          <w:b/>
        </w:rPr>
        <w:t xml:space="preserve">Top Client Acquisition Channel:</w:t>
      </w:r>
      <w:r>
        <w:t xml:space="preserve"> </w:t>
      </w:r>
      <w:r>
        <w:t xml:space="preserve">Social media referrals from Miami homeowners (52% of new business) outperformed trade shows (27%) and direct mail (16%).</w:t>
      </w:r>
    </w:p>
    <w:p>
      <w:pPr>
        <w:pStyle w:val="BodyText"/>
      </w:pPr>
      <w:r>
        <w:t xml:space="preserve">Notably, client retention rates reached 89%—a 23-point improvement over the industry average—due to our "Miami Family Care Package" program. This initiative provides complimentary seasonal wood maintenance during Miami's humid months, directly addressing regional challenges faced by homeowners.</w:t>
      </w:r>
    </w:p>
    <w:bookmarkEnd w:id="24"/>
    <w:bookmarkStart w:id="25" w:name="challenges-and-strategic-responses"/>
    <w:p>
      <w:pPr>
        <w:pStyle w:val="Heading2"/>
      </w:pPr>
      <w:r>
        <w:t xml:space="preserve">Challenges and Strategic Responses</w:t>
      </w:r>
    </w:p>
    <w:p>
      <w:pPr>
        <w:pStyle w:val="FirstParagraph"/>
      </w:pPr>
      <w:r>
        <w:t xml:space="preserve">While results are strong, this Sales Report identifies critical challenges requiring immediate attention in the United States Miami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Strategic Response</w:t>
            </w:r>
          </w:p>
        </w:tc>
      </w:tr>
      <w:tr>
        <w:tc>
          <w:tcPr/>
          <w:p>
            <w:pPr>
              <w:pStyle w:val="Compact"/>
              <w:jc w:val="left"/>
            </w:pPr>
            <w:r>
              <w:t xml:space="preserve">Labor Shortages in Miami-Dade County</w:t>
            </w:r>
          </w:p>
        </w:tc>
        <w:tc>
          <w:tcPr/>
          <w:p>
            <w:pPr>
              <w:pStyle w:val="Compact"/>
              <w:jc w:val="left"/>
            </w:pPr>
            <w:r>
              <w:t xml:space="preserve">23% project delay rate (Q2 2023)</w:t>
            </w:r>
          </w:p>
        </w:tc>
        <w:tc>
          <w:tcPr/>
          <w:p>
            <w:pPr>
              <w:pStyle w:val="Compact"/>
              <w:jc w:val="left"/>
            </w:pPr>
            <w:r>
              <w:t xml:space="preserve">Launched "Miami Apprentice Program" with Miami Dade College; trained 15 new technicians by September 15</w:t>
            </w:r>
          </w:p>
        </w:tc>
      </w:tr>
      <w:tr>
        <w:tc>
          <w:tcPr/>
          <w:p>
            <w:pPr>
              <w:pStyle w:val="Compact"/>
              <w:jc w:val="left"/>
            </w:pPr>
            <w:r>
              <w:t xml:space="preserve">Material Cost Volatility (e.g., imported teak)</w:t>
            </w:r>
          </w:p>
        </w:tc>
        <w:tc>
          <w:tcPr/>
          <w:p>
            <w:pPr>
              <w:pStyle w:val="Compact"/>
              <w:jc w:val="left"/>
            </w:pPr>
            <w:r>
              <w:t xml:space="preserve">32% margin pressure on high-end projects</w:t>
            </w:r>
          </w:p>
        </w:tc>
        <w:tc>
          <w:tcPr/>
          <w:p>
            <w:pPr>
              <w:pStyle w:val="Compact"/>
              <w:jc w:val="left"/>
            </w:pPr>
            <w:r>
              <w:t xml:space="preserve">Negotiated bulk contracts with local suppliers; secured 18% cost reduction through Miami-based wood processors</w:t>
            </w:r>
          </w:p>
        </w:tc>
      </w:tr>
      <w:tr>
        <w:tc>
          <w:tcPr/>
          <w:p>
            <w:pPr>
              <w:pStyle w:val="Compact"/>
              <w:jc w:val="left"/>
            </w:pPr>
            <w:r>
              <w:t xml:space="preserve">Competition from Non-Local Contractors</w:t>
            </w:r>
          </w:p>
        </w:tc>
        <w:tc>
          <w:tcPr/>
          <w:p>
            <w:pPr>
              <w:pStyle w:val="Compact"/>
              <w:jc w:val="left"/>
            </w:pPr>
            <w:r>
              <w:t xml:space="preserve">30% of leads diverted by out-of-state companies offering lower rates</w:t>
            </w:r>
          </w:p>
        </w:tc>
        <w:tc>
          <w:tcPr/>
          <w:p>
            <w:pPr>
              <w:pStyle w:val="Compact"/>
              <w:jc w:val="left"/>
            </w:pPr>
            <w:r>
              <w:t xml:space="preserve">Introduced "Miami Certified" service guarantee emphasizing local expertise and warranty coverage</w:t>
            </w:r>
          </w:p>
        </w:tc>
      </w:tr>
    </w:tbl>
    <w:bookmarkEnd w:id="25"/>
    <w:bookmarkStart w:id="26" w:name="Xaece22154d9cb271feb7be7dce4d065322c9910"/>
    <w:p>
      <w:pPr>
        <w:pStyle w:val="Heading2"/>
      </w:pPr>
      <w:r>
        <w:t xml:space="preserve">Future Outlook in United States Miami Market</w:t>
      </w:r>
    </w:p>
    <w:p>
      <w:pPr>
        <w:pStyle w:val="FirstParagraph"/>
      </w:pPr>
      <w:r>
        <w:t xml:space="preserve">Based on current trends, our Sales Report projects sustained growth for the Miami Carpenter business through 2024. Key forward-looking initiatives include:</w:t>
      </w:r>
    </w:p>
    <w:p>
      <w:pPr>
        <w:numPr>
          <w:ilvl w:val="0"/>
          <w:numId w:val="1003"/>
        </w:numPr>
        <w:pStyle w:val="Compact"/>
      </w:pPr>
      <w:r>
        <w:rPr>
          <w:bCs/>
          <w:b/>
        </w:rPr>
        <w:t xml:space="preserve">Hyper-Local Expansion:</w:t>
      </w:r>
      <w:r>
        <w:t xml:space="preserve"> </w:t>
      </w:r>
      <w:r>
        <w:t xml:space="preserve">Opening a dedicated office in Wynwood by Q1 2024 to serve Miami's rapidly developing arts district.</w:t>
      </w:r>
    </w:p>
    <w:p>
      <w:pPr>
        <w:numPr>
          <w:ilvl w:val="0"/>
          <w:numId w:val="1003"/>
        </w:numPr>
        <w:pStyle w:val="Compact"/>
      </w:pPr>
      <w:r>
        <w:rPr>
          <w:bCs/>
          <w:b/>
        </w:rPr>
        <w:t xml:space="preserve">Sustainability Integration:</w:t>
      </w:r>
      <w:r>
        <w:t xml:space="preserve"> </w:t>
      </w:r>
      <w:r>
        <w:t xml:space="preserve">Launching "Eco-Carpentry" service line using reclaimed wood from local hurricane-damaged structures—addressing both environmental concerns and client demand.</w:t>
      </w:r>
    </w:p>
    <w:p>
      <w:pPr>
        <w:numPr>
          <w:ilvl w:val="0"/>
          <w:numId w:val="1003"/>
        </w:numPr>
        <w:pStyle w:val="Compact"/>
      </w:pPr>
      <w:r>
        <w:rPr>
          <w:bCs/>
          <w:b/>
        </w:rPr>
        <w:t xml:space="preserve">Technology Adoption:</w:t>
      </w:r>
      <w:r>
        <w:t xml:space="preserve"> </w:t>
      </w:r>
      <w:r>
        <w:t xml:space="preserve">Implementing AR visualization tools for Miami clients to preview custom woodworking solutions before installation, expected to increase conversion rates by 35%.</w:t>
      </w:r>
    </w:p>
    <w:p>
      <w:pPr>
        <w:pStyle w:val="FirstParagraph"/>
      </w:pPr>
      <w:r>
        <w:t xml:space="preserve">The United States Miami market presents unparalleled opportunity for specialized</w:t>
      </w:r>
      <w:r>
        <w:t xml:space="preserve"> </w:t>
      </w:r>
      <w:r>
        <w:rPr>
          <w:bCs/>
          <w:b/>
        </w:rPr>
        <w:t xml:space="preserve">Carpenter</w:t>
      </w:r>
      <w:r>
        <w:t xml:space="preserve"> </w:t>
      </w:r>
      <w:r>
        <w:t xml:space="preserve">businesses that understand regional nuances. Our Q3 performance demonstrates that deep community engagement—through partnerships with organizations like the Greater Miami Chamber of Commerce and participation in Miami Home Show events—directly drives sales growth. This Sales Report confirms that our localized approach, rather than national expansion strategy, remains the optimal path for sustainable success in South Florida.</w:t>
      </w:r>
    </w:p>
    <w:bookmarkEnd w:id="26"/>
    <w:bookmarkStart w:id="27" w:name="conclusion"/>
    <w:p>
      <w:pPr>
        <w:pStyle w:val="Heading2"/>
      </w:pPr>
      <w:r>
        <w:t xml:space="preserve">Conclusion</w:t>
      </w:r>
    </w:p>
    <w:p>
      <w:pPr>
        <w:pStyle w:val="FirstParagraph"/>
      </w:pPr>
      <w:r>
        <w:t xml:space="preserve">This Sales Report unequivocally establishes Miami Carpenter Services as a market leader in the United States Miami construction sector. With our strategic focus on regional needs, we've transformed challenges like seasonal weather patterns and material costs into competitive advantages. The 38% sales growth in Q3 isn't just a number—it represents our commitment to being the</w:t>
      </w:r>
      <w:r>
        <w:t xml:space="preserve"> </w:t>
      </w:r>
      <w:r>
        <w:rPr>
          <w:bCs/>
          <w:b/>
        </w:rPr>
        <w:t xml:space="preserve">Carpenter</w:t>
      </w:r>
      <w:r>
        <w:t xml:space="preserve"> </w:t>
      </w:r>
      <w:r>
        <w:t xml:space="preserve">of choice for Miami's evolving architectural landscape. As we move into 2024, our continued investment in Miami-specific training, local partnerships, and culturally attuned service delivery will ensure that every contract signed reflects the pride of working as a dedicated</w:t>
      </w:r>
      <w:r>
        <w:t xml:space="preserve"> </w:t>
      </w:r>
      <w:r>
        <w:rPr>
          <w:bCs/>
          <w:b/>
        </w:rPr>
        <w:t xml:space="preserve">Carpenter</w:t>
      </w:r>
      <w:r>
        <w:t xml:space="preserve"> </w:t>
      </w:r>
      <w:r>
        <w:t xml:space="preserve">within the United States Miami community.</w:t>
      </w:r>
    </w:p>
    <w:p>
      <w:pPr>
        <w:pStyle w:val="BodyText"/>
      </w:pPr>
      <w:r>
        <w:t xml:space="preserve">Prepared for:</w:t>
      </w:r>
    </w:p>
    <w:p>
      <w:pPr>
        <w:pStyle w:val="BodyText"/>
      </w:pPr>
      <w:r>
        <w:t xml:space="preserve">Miami Carpenter Services Executive Leadership</w:t>
      </w:r>
    </w:p>
    <w:p>
      <w:pPr>
        <w:pStyle w:val="BodyText"/>
      </w:pPr>
      <w:r>
        <w:t xml:space="preserve">Sales Performance Analysis | Q3 2023 | United States Miami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Miami Carpenter Services</dc:title>
  <dc:creator/>
  <dc:language>en</dc:language>
  <cp:keywords/>
  <dcterms:created xsi:type="dcterms:W3CDTF">2025-12-10T07:54:07Z</dcterms:created>
  <dcterms:modified xsi:type="dcterms:W3CDTF">2025-12-10T07:54:07Z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