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Carpenter</w:t>
      </w:r>
      <w:r>
        <w:t xml:space="preserve"> </w:t>
      </w:r>
      <w:r>
        <w:t xml:space="preserve">Sales</w:t>
      </w:r>
      <w:r>
        <w:t xml:space="preserve"> </w:t>
      </w:r>
      <w:r>
        <w:t xml:space="preserve">Report</w:t>
      </w:r>
      <w:r>
        <w:t xml:space="preserve"> </w:t>
      </w:r>
      <w:r>
        <w:t xml:space="preserve">Q3</w:t>
      </w:r>
      <w:r>
        <w:t xml:space="preserve"> </w:t>
      </w:r>
      <w:r>
        <w:t xml:space="preserve">2023</w:t>
      </w:r>
    </w:p>
    <w:bookmarkStart w:id="26" w:name="X707762e72dd43d797a9978b3db97490b9ed5bb4"/>
    <w:p>
      <w:pPr>
        <w:pStyle w:val="Heading1"/>
      </w:pPr>
      <w:r>
        <w:t xml:space="preserve">United States New York City Carpenter Sales Report: Q3 2023 Performance Analysis</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premier carpentry services across the bustling landscape of United States New York City during the third quarter of 2023. As a trusted local</w:t>
      </w:r>
      <w:r>
        <w:t xml:space="preserve"> </w:t>
      </w:r>
      <w:r>
        <w:rPr>
          <w:bCs/>
          <w:b/>
        </w:rPr>
        <w:t xml:space="preserve">Carpenter</w:t>
      </w:r>
      <w:r>
        <w:t xml:space="preserve"> </w:t>
      </w:r>
      <w:r>
        <w:t xml:space="preserve">specializing in precision craftsmanship for NYC's diverse architectural tapestry, we achieved remarkable growth despite economic headwinds. Total sales reached $187,500 across 42 completed projects, representing a 17% year-over-year increase and surpassing our Q3 targets by 9%. This success underscores the enduring demand for high-quality carpentry services in the most competitive market in the United States. Our strategic focus on luxury residential renovations and commercial restoration projects proved particularly effective within New York City's dynamic construction ecosystem.</w:t>
      </w:r>
    </w:p>
    <w:bookmarkEnd w:id="20"/>
    <w:bookmarkStart w:id="21" w:name="X4176a6a77d6b438937f0e0da2de00f24c92bb03"/>
    <w:p>
      <w:pPr>
        <w:pStyle w:val="Heading2"/>
      </w:pPr>
      <w:r>
        <w:t xml:space="preserve">Market Analysis: NYC's Construction Landscape</w:t>
      </w:r>
    </w:p>
    <w:p>
      <w:pPr>
        <w:pStyle w:val="FirstParagraph"/>
      </w:pPr>
      <w:r>
        <w:t xml:space="preserve">New York City remains the epicenter of architectural complexity in the United States, presenting unique opportunities for skilled craftsmen. The Q3 2023 market showed significant momentum in high-end residential renovations, driven by post-pandemic demand for personalized living spaces and commercial property upgrades following pandemic-related closures. According to NYC Department of Buildings data, construction permits for residential projects rose 14% year-over-year in Manhattan and Brooklyn alone. As a</w:t>
      </w:r>
      <w:r>
        <w:t xml:space="preserve"> </w:t>
      </w:r>
      <w:r>
        <w:rPr>
          <w:bCs/>
          <w:b/>
        </w:rPr>
        <w:t xml:space="preserve">Carpenter</w:t>
      </w:r>
      <w:r>
        <w:t xml:space="preserve"> </w:t>
      </w:r>
      <w:r>
        <w:t xml:space="preserve">deeply embedded in the United States New York City community, we've positioned ourselves at the forefront of this trend through specialized services tailored to NYC's historic brownstones, modern high-rises, and adaptive reuse projects. Our sales strategy directly responded to these market signals by expanding our luxury renovation package offerings – a decision that generated 63% of Q3 revenue.</w:t>
      </w:r>
    </w:p>
    <w:bookmarkEnd w:id="21"/>
    <w:bookmarkStart w:id="22" w:name="sales-performance-breakdown"/>
    <w:p>
      <w:pPr>
        <w:pStyle w:val="Heading2"/>
      </w:pPr>
      <w:r>
        <w:t xml:space="preserve">Sales Performance Breakdown</w:t>
      </w:r>
    </w:p>
    <w:p>
      <w:pPr>
        <w:pStyle w:val="FirstParagraph"/>
      </w:pPr>
      <w:r>
        <w:t xml:space="preserve">Our Q3 performance reveals three key growth vectors:</w:t>
      </w:r>
    </w:p>
    <w:p>
      <w:pPr>
        <w:numPr>
          <w:ilvl w:val="0"/>
          <w:numId w:val="1001"/>
        </w:numPr>
        <w:pStyle w:val="Compact"/>
      </w:pPr>
      <w:r>
        <w:rPr>
          <w:bCs/>
          <w:b/>
        </w:rPr>
        <w:t xml:space="preserve">Luxury Residential Renovations (58% of Revenue)</w:t>
      </w:r>
      <w:r>
        <w:t xml:space="preserve">: 17 projects including kitchen custom cabinetry, bathroom vanities, and historic molding restoration. Notable projects included a $42,000 renovation of a Tribeca brownstone with period-accurate millwork and a $38,500 project for a Park Avenue condo featuring bespoke built-ins.</w:t>
      </w:r>
    </w:p>
    <w:p>
      <w:pPr>
        <w:numPr>
          <w:ilvl w:val="0"/>
          <w:numId w:val="1001"/>
        </w:numPr>
        <w:pStyle w:val="Compact"/>
      </w:pPr>
      <w:r>
        <w:rPr>
          <w:bCs/>
          <w:b/>
        </w:rPr>
        <w:t xml:space="preserve">Commercial Restoration (28% of Revenue)</w:t>
      </w:r>
      <w:r>
        <w:t xml:space="preserve">: 11 projects servicing NYC businesses including storefront renovations for Upper East Side boutiques, office partition systems for Flatiron District firms, and theater restoration work in Downtown Manhattan. The $28,000 project restoring historic woodwork at the Brooklyn Academy of Music generated significant positive referrals.</w:t>
      </w:r>
    </w:p>
    <w:p>
      <w:pPr>
        <w:pStyle w:val="FirstParagraph"/>
      </w:pPr>
      <w:r>
        <w:t xml:space="preserve">Notably, all projects were completed within NYC's strict building codes and timelines – a critical differentiator in United States New York City where construction delays incur significant penalties. Our average project duration decreased by 12% quarter-over-quarter through optimized scheduling, directly contributing to client satisfaction scores of 94%.</w:t>
      </w:r>
    </w:p>
    <w:bookmarkEnd w:id="22"/>
    <w:bookmarkStart w:id="23" w:name="customer-insights-market-positioning"/>
    <w:p>
      <w:pPr>
        <w:pStyle w:val="Heading2"/>
      </w:pPr>
      <w:r>
        <w:t xml:space="preserve">Customer Insights &amp; Market Positioning</w:t>
      </w:r>
    </w:p>
    <w:p>
      <w:pPr>
        <w:pStyle w:val="FirstParagraph"/>
      </w:pPr>
      <w:r>
        <w:t xml:space="preserve">Our Q3 customer analytics reveal evolving preferences among United States New York City residents and businesses. Survey data indicates 76% of residential clients prioritize "historic preservation compatibility" over cost – a critical consideration for our work in NYC's landmark districts. Commercial clients increasingly demand sustainable materials, with 42% requesting FSC-certified wood for Q3 projects. This aligns perfectly with our partnership with the NYC Green Building Council, which we leveraged in sales presentations.</w:t>
      </w:r>
    </w:p>
    <w:p>
      <w:pPr>
        <w:pStyle w:val="BodyText"/>
      </w:pPr>
      <w:r>
        <w:t xml:space="preserve">Referral rate reached 38% – significantly higher than the industry average of 22% – demonstrating our strong local reputation as a reliable</w:t>
      </w:r>
      <w:r>
        <w:t xml:space="preserve"> </w:t>
      </w:r>
      <w:r>
        <w:rPr>
          <w:bCs/>
          <w:b/>
        </w:rPr>
        <w:t xml:space="preserve">Carpenter</w:t>
      </w:r>
      <w:r>
        <w:t xml:space="preserve"> </w:t>
      </w:r>
      <w:r>
        <w:t xml:space="preserve">in New York City. Key referral sources included architects (41%), interior designers (33%), and past clients (26%). We've strategically deepened relationships with these partners through quarterly NYC networking events at venues like the Brooklyn Navy Yard, directly contributing to our Q3 sales pipeline.</w:t>
      </w:r>
    </w:p>
    <w:bookmarkEnd w:id="23"/>
    <w:bookmarkStart w:id="24" w:name="challenges-strategic-opportunities"/>
    <w:p>
      <w:pPr>
        <w:pStyle w:val="Heading2"/>
      </w:pPr>
      <w:r>
        <w:t xml:space="preserve">Challenges &amp; Strategic Opportunities</w:t>
      </w:r>
    </w:p>
    <w:p>
      <w:pPr>
        <w:pStyle w:val="FirstParagraph"/>
      </w:pPr>
      <w:r>
        <w:t xml:space="preserve">Despite strong performance, NYC-specific challenges emerged. Rising material costs (especially oak and maple) increased project expenses by 14% quarter-over-quarter. Additionally, NYC's complex permitting process caused minor scheduling delays for three projects – an area we're addressing through our new partnership with the Municipal Arts Society to streamline approvals.</w:t>
      </w:r>
    </w:p>
    <w:p>
      <w:pPr>
        <w:pStyle w:val="BodyText"/>
      </w:pPr>
      <w:r>
        <w:t xml:space="preserve">Opportunities for Q4 expansion are substantial:</w:t>
      </w:r>
    </w:p>
    <w:p>
      <w:pPr>
        <w:numPr>
          <w:ilvl w:val="0"/>
          <w:numId w:val="1002"/>
        </w:numPr>
        <w:pStyle w:val="Compact"/>
      </w:pPr>
      <w:r>
        <w:rPr>
          <w:bCs/>
          <w:b/>
        </w:rPr>
        <w:t xml:space="preserve">NYC Historic Preservation Grants</w:t>
      </w:r>
      <w:r>
        <w:t xml:space="preserve">: We've identified 27 eligible brownstone projects in Brooklyn through NYC Landmarks Commission data, positioning us as a grant-qualified contractor.</w:t>
      </w:r>
    </w:p>
    <w:p>
      <w:pPr>
        <w:numPr>
          <w:ilvl w:val="0"/>
          <w:numId w:val="1002"/>
        </w:numPr>
        <w:pStyle w:val="Compact"/>
      </w:pPr>
      <w:r>
        <w:rPr>
          <w:bCs/>
          <w:b/>
        </w:rPr>
        <w:t xml:space="preserve">Commercial Co-Working Spaces</w:t>
      </w:r>
      <w:r>
        <w:t xml:space="preserve">: With 19 new co-working facilities breaking ground in Manhattan Q4, we're developing a tailored package for these high-volume clients.</w:t>
      </w:r>
    </w:p>
    <w:p>
      <w:pPr>
        <w:numPr>
          <w:ilvl w:val="0"/>
          <w:numId w:val="1002"/>
        </w:numPr>
        <w:pStyle w:val="Compact"/>
      </w:pPr>
      <w:r>
        <w:rPr>
          <w:bCs/>
          <w:b/>
        </w:rPr>
        <w:t xml:space="preserve">Virtual Consultation Expansion</w:t>
      </w:r>
      <w:r>
        <w:t xml:space="preserve">: We'll implement immersive 3D modeling for NYC clients to reduce site visits (saving time and costs) – an offering that generated 22% of our pipeline through pilot testing.</w:t>
      </w:r>
    </w:p>
    <w:bookmarkEnd w:id="24"/>
    <w:bookmarkStart w:id="25" w:name="conclusion-strategic-outlook"/>
    <w:p>
      <w:pPr>
        <w:pStyle w:val="Heading2"/>
      </w:pPr>
      <w:r>
        <w:t xml:space="preserve">Conclusion &amp; Strategic Outlook</w:t>
      </w:r>
    </w:p>
    <w:p>
      <w:pPr>
        <w:pStyle w:val="FirstParagraph"/>
      </w:pPr>
      <w:r>
        <w:t xml:space="preserve">This</w:t>
      </w:r>
      <w:r>
        <w:t xml:space="preserve"> </w:t>
      </w:r>
      <w:r>
        <w:rPr>
          <w:bCs/>
          <w:b/>
        </w:rPr>
        <w:t xml:space="preserve">Sales Report</w:t>
      </w:r>
      <w:r>
        <w:t xml:space="preserve"> </w:t>
      </w:r>
      <w:r>
        <w:t xml:space="preserve">confirms the exceptional performance of our carpentry business within United States New York City's competitive market. The Q3 results demonstrate that specialized, high-quality craftsmanship remains in strong demand even during economic uncertainty. As a dedicated local</w:t>
      </w:r>
      <w:r>
        <w:t xml:space="preserve"> </w:t>
      </w:r>
      <w:r>
        <w:rPr>
          <w:bCs/>
          <w:b/>
        </w:rPr>
        <w:t xml:space="preserve">Carpenter</w:t>
      </w:r>
      <w:r>
        <w:t xml:space="preserve">, we've successfully navigated NYC's unique challenges while capitalizing on emerging opportunities – particularly in historic preservation and sustainable commercial projects.</w:t>
      </w:r>
    </w:p>
    <w:p>
      <w:pPr>
        <w:pStyle w:val="BodyText"/>
      </w:pPr>
      <w:r>
        <w:t xml:space="preserve">Looking ahead, we're committed to deepening our integration within the United States New York City ecosystem. Our Q4 strategy focuses on securing three major historic district projects (targeting $200,000+ revenue) and expanding partnerships with NYC-based architects who serve luxury markets. We'll continue prioritizing speed-to-market through our optimized scheduling system while maintaining the meticulous craftsmanship that defines our brand in New York City's demanding construction environment.</w:t>
      </w:r>
    </w:p>
    <w:p>
      <w:pPr>
        <w:pStyle w:val="BodyText"/>
      </w:pPr>
      <w:r>
        <w:t xml:space="preserve">Our success proves that in United States New York City, where architectural heritage meets modern innovation, a skilled</w:t>
      </w:r>
      <w:r>
        <w:t xml:space="preserve"> </w:t>
      </w:r>
      <w:r>
        <w:rPr>
          <w:bCs/>
          <w:b/>
        </w:rPr>
        <w:t xml:space="preserve">Carpenter</w:t>
      </w:r>
      <w:r>
        <w:t xml:space="preserve"> </w:t>
      </w:r>
      <w:r>
        <w:t xml:space="preserve">who understands both the technical demands and cultural context of this city can achieve exceptional commercial results. This Q3 performance establishes an even stronger foundation for continued growth as we enter 2024.</w:t>
      </w:r>
    </w:p>
    <w:p>
      <w:pPr>
        <w:pStyle w:val="BodyText"/>
      </w:pPr>
      <w:r>
        <w:rPr>
          <w:iCs/>
          <w:i/>
        </w:rPr>
        <w:t xml:space="preserve">Prepared by: Empire City Woodcrafts | Date: October 15, 2023 | For United States New York City Construction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Carpenter Sales Report Q3 2023</dc:title>
  <dc:creator/>
  <dc:language>en</dc:language>
  <cp:keywords/>
  <dcterms:created xsi:type="dcterms:W3CDTF">2026-07-24T18:29:47Z</dcterms:created>
  <dcterms:modified xsi:type="dcterms:W3CDTF">2026-07-24T18:29:47Z</dcterms:modified>
</cp:coreProperties>
</file>

<file path=docProps/custom.xml><?xml version="1.0" encoding="utf-8"?>
<Properties xmlns="http://schemas.openxmlformats.org/officeDocument/2006/custom-properties" xmlns:vt="http://schemas.openxmlformats.org/officeDocument/2006/docPropsVTypes"/>
</file>