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f3c522abfa3a865183863da55d03cb6dd824e92"/>
    <w:p>
      <w:pPr>
        <w:pStyle w:val="Heading1"/>
      </w:pPr>
      <w:r>
        <w:t xml:space="preserve">Comprehensive Sales Report: Elite Carpentry Services in United States San Francisco</w:t>
      </w:r>
    </w:p>
    <w:bookmarkStart w:id="20" w:name="executive-summary"/>
    <w:p>
      <w:pPr>
        <w:pStyle w:val="Heading2"/>
      </w:pPr>
      <w:r>
        <w:t xml:space="preserve">Executive Summary</w:t>
      </w:r>
    </w:p>
    <w:p>
      <w:pPr>
        <w:pStyle w:val="FirstParagraph"/>
      </w:pPr>
      <w:r>
        <w:t xml:space="preserve">This quarterly sales report details the performance of Elite Carpentry Services, a premier woodworking and construction firm operating exclusively within the United States San Francisco market. As of September 30, 2024, the company has achieved remarkable growth in both residential and commercial carpentry services across all neighborhoods of San Francisco. The Sales Report highlights a 19.8% year-over-year revenue increase to $1,427,500 for Q3 2024, driven by heightened demand for custom woodwork in historic districts and sustainable building projects throughout San Francisco. This growth solidifies our position as a leading</w:t>
      </w:r>
      <w:r>
        <w:t xml:space="preserve"> </w:t>
      </w:r>
      <w:r>
        <w:rPr>
          <w:bCs/>
          <w:b/>
        </w:rPr>
        <w:t xml:space="preserve">Carpenter</w:t>
      </w:r>
      <w:r>
        <w:t xml:space="preserve"> </w:t>
      </w:r>
      <w:r>
        <w:t xml:space="preserve">service provider within the competitive United States construction landscape.</w:t>
      </w:r>
    </w:p>
    <w:bookmarkEnd w:id="20"/>
    <w:bookmarkStart w:id="21" w:name="X0263c1e8338c22fc428b4c74edf7ee93da48a88"/>
    <w:p>
      <w:pPr>
        <w:pStyle w:val="Heading2"/>
      </w:pPr>
      <w:r>
        <w:t xml:space="preserve">Market Analysis: San Francisco Specific Context</w:t>
      </w:r>
    </w:p>
    <w:p>
      <w:pPr>
        <w:pStyle w:val="FirstParagraph"/>
      </w:pPr>
      <w:r>
        <w:t xml:space="preserve">The United States San Francisco market presents unique opportunities and challenges for specialized trades like carpentry. With an average single-family home price of $1,450,000 (SF MLS Q3 2024) and a robust renovation boom fueled by historic preservation initiatives, demand for skilled</w:t>
      </w:r>
      <w:r>
        <w:t xml:space="preserve"> </w:t>
      </w:r>
      <w:r>
        <w:rPr>
          <w:bCs/>
          <w:b/>
        </w:rPr>
        <w:t xml:space="preserve">Carpenter</w:t>
      </w:r>
      <w:r>
        <w:t xml:space="preserve"> </w:t>
      </w:r>
      <w:r>
        <w:t xml:space="preserve">services has surged. The city's strict building codes, high density in areas like Pacific Heights and the Mission District, and emphasis on green building practices have created specialized niches where our firm excels. Notably, 68% of our Q3 revenue came from projects requiring intricate wood restoration in Victorian homes (a hallmark of San Francisco architecture) and sustainable cabinetry for new eco-conscious developments.</w:t>
      </w:r>
    </w:p>
    <w:bookmarkEnd w:id="21"/>
    <w:bookmarkStart w:id="22" w:name="X19face9681b520cc0e0a8ae241b0197f6428b08"/>
    <w:p>
      <w:pPr>
        <w:pStyle w:val="Heading2"/>
      </w:pPr>
      <w:r>
        <w:t xml:space="preserve">Key Sales Metrics: United States San Francisco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w:t>
            </w:r>
          </w:p>
        </w:tc>
        <w:tc>
          <w:tcPr/>
          <w:p>
            <w:pPr>
              <w:pStyle w:val="Compact"/>
              <w:jc w:val="left"/>
            </w:pPr>
            <w:r>
              <w:t xml:space="preserve">Q3 2024 Revenue</w:t>
            </w:r>
          </w:p>
        </w:tc>
        <w:tc>
          <w:tcPr/>
          <w:p>
            <w:pPr>
              <w:pStyle w:val="Compact"/>
              <w:jc w:val="left"/>
            </w:pPr>
            <w:r>
              <w:t xml:space="preserve">% Change</w:t>
            </w:r>
          </w:p>
        </w:tc>
      </w:tr>
      <w:tr>
        <w:tc>
          <w:tcPr/>
          <w:p>
            <w:pPr>
              <w:pStyle w:val="Compact"/>
              <w:jc w:val="left"/>
            </w:pPr>
            <w:r>
              <w:t xml:space="preserve">Residential Renovations (Historic Homes)</w:t>
            </w:r>
          </w:p>
        </w:tc>
        <w:tc>
          <w:tcPr/>
          <w:p>
            <w:pPr>
              <w:pStyle w:val="Compact"/>
              <w:jc w:val="left"/>
            </w:pPr>
            <w:r>
              <w:t xml:space="preserve">$415,000</w:t>
            </w:r>
          </w:p>
        </w:tc>
        <w:tc>
          <w:tcPr/>
          <w:p>
            <w:pPr>
              <w:pStyle w:val="Compact"/>
              <w:jc w:val="left"/>
            </w:pPr>
            <w:r>
              <w:t xml:space="preserve">$582,300</w:t>
            </w:r>
          </w:p>
        </w:tc>
        <w:tc>
          <w:tcPr/>
          <w:p>
            <w:pPr>
              <w:pStyle w:val="Compact"/>
              <w:jc w:val="left"/>
            </w:pPr>
            <w:r>
              <w:t xml:space="preserve">+40.3%</w:t>
            </w:r>
          </w:p>
        </w:tc>
      </w:tr>
      <w:tr>
        <w:tc>
          <w:tcPr/>
          <w:p>
            <w:pPr>
              <w:pStyle w:val="Compact"/>
              <w:jc w:val="left"/>
            </w:pPr>
            <w:r>
              <w:t xml:space="preserve">New Construction Cabinetry &amp; Millwork</w:t>
            </w:r>
          </w:p>
        </w:tc>
        <w:tc>
          <w:tcPr/>
          <w:p>
            <w:pPr>
              <w:pStyle w:val="Compact"/>
              <w:jc w:val="left"/>
            </w:pPr>
            <w:r>
              <w:t xml:space="preserve">$278,900</w:t>
            </w:r>
          </w:p>
        </w:tc>
        <w:tc>
          <w:tcPr/>
          <w:p>
            <w:pPr>
              <w:pStyle w:val="Compact"/>
              <w:jc w:val="left"/>
            </w:pPr>
            <w:r>
              <w:t xml:space="preserve">$361,500</w:t>
            </w:r>
          </w:p>
        </w:tc>
        <w:tc>
          <w:tcPr/>
          <w:p>
            <w:pPr>
              <w:pStyle w:val="Compact"/>
              <w:jc w:val="left"/>
            </w:pPr>
            <w:r>
              <w:t xml:space="preserve">+29.6%</w:t>
            </w:r>
          </w:p>
        </w:tc>
      </w:tr>
      <w:tr>
        <w:tc>
          <w:tcPr/>
          <w:p>
            <w:pPr>
              <w:pStyle w:val="Compact"/>
              <w:jc w:val="left"/>
            </w:pPr>
            <w:r>
              <w:t xml:space="preserve">Commercial Fit-Outs (Restaurants/Offices)</w:t>
            </w:r>
          </w:p>
        </w:tc>
        <w:tc>
          <w:tcPr/>
          <w:p>
            <w:pPr>
              <w:pStyle w:val="Compact"/>
              <w:jc w:val="left"/>
            </w:pPr>
            <w:r>
              <w:t xml:space="preserve">$142,600</w:t>
            </w:r>
          </w:p>
        </w:tc>
        <w:tc>
          <w:tcPr/>
          <w:p>
            <w:pPr>
              <w:pStyle w:val="Compact"/>
              <w:jc w:val="left"/>
            </w:pPr>
            <w:r>
              <w:t xml:space="preserve">$187,850</w:t>
            </w:r>
          </w:p>
        </w:tc>
        <w:tc>
          <w:tcPr/>
          <w:p>
            <w:pPr>
              <w:pStyle w:val="Compact"/>
              <w:jc w:val="left"/>
            </w:pPr>
            <w:r>
              <w:t xml:space="preserve">+31.7%</w:t>
            </w:r>
          </w:p>
        </w:tc>
      </w:tr>
      <w:tr>
        <w:tc>
          <w:tcPr/>
          <w:p>
            <w:pPr>
              <w:pStyle w:val="Compact"/>
              <w:jc w:val="left"/>
            </w:pPr>
            <w:r>
              <w:t xml:space="preserve">Sustainable Building Projects (LEED Certified)</w:t>
            </w:r>
          </w:p>
        </w:tc>
        <w:tc>
          <w:tcPr/>
          <w:p>
            <w:pPr>
              <w:pStyle w:val="Compact"/>
              <w:jc w:val="left"/>
            </w:pPr>
            <w:r>
              <w:t xml:space="preserve">$98,200</w:t>
            </w:r>
          </w:p>
        </w:tc>
        <w:tc>
          <w:tcPr/>
          <w:p>
            <w:pPr>
              <w:pStyle w:val="Compact"/>
              <w:jc w:val="left"/>
            </w:pPr>
            <w:r>
              <w:t xml:space="preserve">$204,650</w:t>
            </w:r>
          </w:p>
        </w:tc>
        <w:tc>
          <w:tcPr/>
          <w:p>
            <w:pPr>
              <w:pStyle w:val="Compact"/>
              <w:jc w:val="left"/>
            </w:pPr>
            <w:r>
              <w:t xml:space="preserve">+108.4%</w:t>
            </w:r>
          </w:p>
        </w:tc>
      </w:tr>
      <w:tr>
        <w:tc>
          <w:tcPr/>
          <w:p>
            <w:pPr>
              <w:pStyle w:val="Compact"/>
              <w:jc w:val="left"/>
            </w:pPr>
            <w:r>
              <w:t xml:space="preserve">Total Q3 Revenue</w:t>
            </w:r>
          </w:p>
        </w:tc>
        <w:tc>
          <w:tcPr/>
          <w:p>
            <w:pPr>
              <w:pStyle w:val="Compact"/>
              <w:jc w:val="left"/>
            </w:pPr>
            <w:r>
              <w:t xml:space="preserve">$934,700</w:t>
            </w:r>
          </w:p>
        </w:tc>
        <w:tc>
          <w:tcPr/>
          <w:p>
            <w:pPr>
              <w:pStyle w:val="Compact"/>
              <w:jc w:val="left"/>
            </w:pPr>
            <w:r>
              <w:t xml:space="preserve">$1,427,500</w:t>
            </w:r>
          </w:p>
        </w:tc>
        <w:tc>
          <w:tcPr/>
          <w:p>
            <w:pPr>
              <w:pStyle w:val="Compact"/>
              <w:jc w:val="left"/>
            </w:pPr>
            <w:r>
              <w:rPr>
                <w:bCs/>
                <w:b/>
              </w:rPr>
              <w:t xml:space="preserve">+52.8%</w:t>
            </w:r>
          </w:p>
        </w:tc>
      </w:tr>
    </w:tbl>
    <w:bookmarkEnd w:id="22"/>
    <w:bookmarkStart w:id="23" w:name="strategic-insights-local-market-drivers"/>
    <w:p>
      <w:pPr>
        <w:pStyle w:val="Heading2"/>
      </w:pPr>
      <w:r>
        <w:t xml:space="preserve">Strategic Insights &amp; Local Market Drivers</w:t>
      </w:r>
    </w:p>
    <w:p>
      <w:pPr>
        <w:pStyle w:val="FirstParagraph"/>
      </w:pPr>
      <w:r>
        <w:t xml:space="preserve">The explosive growth in sustainable building projects (108.4% YoY) directly correlates with San Francisco's Green Building Ordinance and the city's 2030 Climate Action Plan. Our firm's adoption of locally sourced, FSC-certified redwood and reclaimed lumber has become a major competitive advantage within the United States San Francisco market. Furthermore, our partnership with the SF Department of Building Inspection on streamlined permitting for historic renovations has accelerated project timelines by 22%, directly contributing to higher customer satisfaction scores (4.8/5 average) and repeat business (37% of Q3 clients).</w:t>
      </w:r>
    </w:p>
    <w:bookmarkEnd w:id="23"/>
    <w:bookmarkStart w:id="24" w:name="challenges-in-the-san-francisco-context"/>
    <w:p>
      <w:pPr>
        <w:pStyle w:val="Heading2"/>
      </w:pPr>
      <w:r>
        <w:t xml:space="preserve">Challenges in the San Francisco Context</w:t>
      </w:r>
    </w:p>
    <w:p>
      <w:pPr>
        <w:pStyle w:val="FirstParagraph"/>
      </w:pPr>
      <w:r>
        <w:t xml:space="preserve">Despite strong growth, significant challenges persist within the United States San Francisco landscape. The persistent skilled labor shortage across all trades has increased our operational costs by 14% year-over-year. Additionally, rising material costs (particularly for sustainable wood products) and complex zoning regulations in neighborhoods like Telegraph Hill have pressured profit margins. However, we've mitigated these through strategic vendor partnerships with local mills (reducing supply chain lead times by 30%) and specialized training programs to upskill our workforce within San Francisco's unique construction environment.</w:t>
      </w:r>
    </w:p>
    <w:bookmarkEnd w:id="24"/>
    <w:bookmarkStart w:id="25" w:name="Xc8dc17c56ee87472a6835afbebdc292d76c2d88"/>
    <w:p>
      <w:pPr>
        <w:pStyle w:val="Heading2"/>
      </w:pPr>
      <w:r>
        <w:t xml:space="preserve">Customer Acquisition &amp; Retention: San Francisco Focus</w:t>
      </w:r>
    </w:p>
    <w:p>
      <w:pPr>
        <w:pStyle w:val="FirstParagraph"/>
      </w:pPr>
      <w:r>
        <w:t xml:space="preserve">Our most successful acquisition channel this quarter was targeted digital advertising focused on historic districts (Pacific Heights, Russian Hill, Laurel Heights) combined with SEO optimization for keywords like "victorian carpenter san francisco" and "sustainable cabinet maker sf." This generated 127 qualified leads – a 45% increase from Q2. Customer retention strategies leveraging our San Francisco-specific expertise have proven highly effective: offering complimentary on-site consultations for historic preservation projects resulted in a 63% renewal rate from existing clients within the city, significantly outperforming the industry average of 48%.</w:t>
      </w:r>
    </w:p>
    <w:bookmarkEnd w:id="25"/>
    <w:bookmarkStart w:id="26" w:name="strategic-recommendations-for-q4-beyond"/>
    <w:p>
      <w:pPr>
        <w:pStyle w:val="Heading2"/>
      </w:pPr>
      <w:r>
        <w:t xml:space="preserve">Strategic Recommendations for Q4 &amp; Beyond</w:t>
      </w:r>
    </w:p>
    <w:p>
      <w:pPr>
        <w:pStyle w:val="FirstParagraph"/>
      </w:pPr>
      <w:r>
        <w:t xml:space="preserve">Based on this comprehensive Sales Report, we recommend:</w:t>
      </w:r>
    </w:p>
    <w:p>
      <w:pPr>
        <w:numPr>
          <w:ilvl w:val="0"/>
          <w:numId w:val="1001"/>
        </w:numPr>
        <w:pStyle w:val="Compact"/>
      </w:pPr>
      <w:r>
        <w:rPr>
          <w:bCs/>
          <w:b/>
        </w:rPr>
        <w:t xml:space="preserve">Expand Sustainable Wood Sourcing:</w:t>
      </w:r>
      <w:r>
        <w:t xml:space="preserve"> </w:t>
      </w:r>
      <w:r>
        <w:t xml:space="preserve">Partner with local SF-based sustainable forestry initiatives to further reduce costs and enhance our green marketing in the United States San Francisco market.</w:t>
      </w:r>
    </w:p>
    <w:p>
      <w:pPr>
        <w:numPr>
          <w:ilvl w:val="0"/>
          <w:numId w:val="1001"/>
        </w:numPr>
        <w:pStyle w:val="Compact"/>
      </w:pPr>
      <w:r>
        <w:rPr>
          <w:bCs/>
          <w:b/>
        </w:rPr>
        <w:t xml:space="preserve">Develop Historic Preservation Specialization:</w:t>
      </w:r>
      <w:r>
        <w:t xml:space="preserve"> </w:t>
      </w:r>
      <w:r>
        <w:t xml:space="preserve">Create a dedicated "San Francisco Heritage Woodwork" service line targeting city-funded preservation projects, capitalizing on the $20M+ annual SF Historic Preservation Fund allocations.</w:t>
      </w:r>
    </w:p>
    <w:p>
      <w:pPr>
        <w:numPr>
          <w:ilvl w:val="0"/>
          <w:numId w:val="1001"/>
        </w:numPr>
        <w:pStyle w:val="Compact"/>
      </w:pPr>
      <w:r>
        <w:rPr>
          <w:bCs/>
          <w:b/>
        </w:rPr>
        <w:t xml:space="preserve">Leverage City Partnerships:</w:t>
      </w:r>
      <w:r>
        <w:t xml:space="preserve"> </w:t>
      </w:r>
      <w:r>
        <w:t xml:space="preserve">Formalize agreements with the SF Planning Department for pre-approval of carpentry plans in historic districts to reduce client project timelines.</w:t>
      </w:r>
    </w:p>
    <w:p>
      <w:pPr>
        <w:numPr>
          <w:ilvl w:val="0"/>
          <w:numId w:val="1001"/>
        </w:numPr>
        <w:pStyle w:val="Compact"/>
      </w:pPr>
      <w:r>
        <w:rPr>
          <w:bCs/>
          <w:b/>
        </w:rPr>
        <w:t xml:space="preserve">Invest in Local Talent Pipeline:</w:t>
      </w:r>
      <w:r>
        <w:t xml:space="preserve"> </w:t>
      </w:r>
      <w:r>
        <w:t xml:space="preserve">Collaborate with SF Build, a local trade school, to establish an apprenticeship program specifically for San Francisco's unique architectural demands.</w:t>
      </w:r>
    </w:p>
    <w:bookmarkEnd w:id="26"/>
    <w:bookmarkStart w:id="27" w:name="conclusion"/>
    <w:p>
      <w:pPr>
        <w:pStyle w:val="Heading2"/>
      </w:pPr>
      <w:r>
        <w:t xml:space="preserve">Conclusion</w:t>
      </w:r>
    </w:p>
    <w:p>
      <w:pPr>
        <w:pStyle w:val="FirstParagraph"/>
      </w:pPr>
      <w:r>
        <w:t xml:space="preserve">The Q3 2024 Sales Report confirms Elite Carpentry Services as a vital and growing partner within the United States San Francisco construction ecosystem. Our success stems from deeply understanding the city's architectural heritage, regulatory environment, and sustainability priorities. As a premier</w:t>
      </w:r>
      <w:r>
        <w:t xml:space="preserve"> </w:t>
      </w:r>
      <w:r>
        <w:rPr>
          <w:bCs/>
          <w:b/>
        </w:rPr>
        <w:t xml:space="preserve">Carpenter</w:t>
      </w:r>
      <w:r>
        <w:t xml:space="preserve"> </w:t>
      </w:r>
      <w:r>
        <w:t xml:space="preserve">firm operating exclusively in San Francisco, we have not only met but exceeded market expectations – delivering exceptional craftsmanship that preserves the soul of our city while meeting modern performance standards. With strategic investments in sustainable materials and historic preservation expertise, we project Q4 2024 revenue to surpass $1.6M, cementing our leadership position for the next decade within San Francisco's dynamic building landscape.</w:t>
      </w:r>
    </w:p>
    <w:p>
      <w:pPr>
        <w:pStyle w:val="BodyText"/>
      </w:pPr>
      <w:r>
        <w:rPr>
          <w:iCs/>
          <w:i/>
        </w:rPr>
        <w:t xml:space="preserve">Prepared by: Elite Carpentry Services Executive Team | Date: October 5, 2024 | Report Period: July 1 - September 30,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Carpenter Sales Report | Q3 2024</dc:title>
  <dc:creator/>
  <dc:language>en</dc:language>
  <cp:keywords/>
  <dcterms:created xsi:type="dcterms:W3CDTF">2026-07-24T06:05:23Z</dcterms:created>
  <dcterms:modified xsi:type="dcterms:W3CDTF">2026-07-24T06:05:23Z</dcterms:modified>
</cp:coreProperties>
</file>

<file path=docProps/custom.xml><?xml version="1.0" encoding="utf-8"?>
<Properties xmlns="http://schemas.openxmlformats.org/officeDocument/2006/custom-properties" xmlns:vt="http://schemas.openxmlformats.org/officeDocument/2006/docPropsVTypes"/>
</file>