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w:t>
      </w:r>
      <w:r>
        <w:t xml:space="preserve"> </w:t>
      </w:r>
      <w:r>
        <w:t xml:space="preserve">Colombia</w:t>
      </w:r>
      <w:r>
        <w:t xml:space="preserve"> </w:t>
      </w:r>
      <w:r>
        <w:t xml:space="preserve">Medellín</w:t>
      </w:r>
      <w:r>
        <w:t xml:space="preserve"> </w:t>
      </w:r>
      <w:r>
        <w:t xml:space="preserve">Performance</w:t>
      </w:r>
      <w:r>
        <w:t xml:space="preserve"> </w:t>
      </w:r>
      <w:r>
        <w:t xml:space="preserve">Analysis</w:t>
      </w:r>
    </w:p>
    <w:bookmarkStart w:id="26" w:name="Xdc1830dbf67fdc0bf2e5706f70df570588c7a15"/>
    <w:p>
      <w:pPr>
        <w:pStyle w:val="Heading1"/>
      </w:pPr>
      <w:r>
        <w:t xml:space="preserve">Sales Report: Chef | Colombia Medellín Performance Analysis (Q3 2023)</w:t>
      </w:r>
    </w:p>
    <w:bookmarkStart w:id="20" w:name="executive-summary"/>
    <w:p>
      <w:pPr>
        <w:pStyle w:val="Heading2"/>
      </w:pPr>
      <w:r>
        <w:t xml:space="preserve">Executive Summary</w:t>
      </w:r>
    </w:p>
    <w:p>
      <w:pPr>
        <w:pStyle w:val="FirstParagraph"/>
      </w:pPr>
      <w:r>
        <w:t xml:space="preserve">This Sales Report details the operational and financial performance of</w:t>
      </w:r>
      <w:r>
        <w:t xml:space="preserve"> </w:t>
      </w:r>
      <w:r>
        <w:rPr>
          <w:iCs/>
          <w:i/>
        </w:rPr>
        <w:t xml:space="preserve">Chef</w:t>
      </w:r>
      <w:r>
        <w:t xml:space="preserve">, our premium culinary brand, across the dynamic market of Colombia Medellín. Serving as a cornerstone in Medellín's vibrant gastronomic landscape,</w:t>
      </w:r>
      <w:r>
        <w:t xml:space="preserve"> </w:t>
      </w:r>
      <w:r>
        <w:rPr>
          <w:iCs/>
          <w:i/>
        </w:rPr>
        <w:t xml:space="preserve">Chef</w:t>
      </w:r>
      <w:r>
        <w:t xml:space="preserve"> </w:t>
      </w:r>
      <w:r>
        <w:t xml:space="preserve">has achieved remarkable growth in Q3 2023, demonstrating exceptional alignment with local tastes and economic trends. The report confirms a 15.7% year-over-year (YoY) increase in sales revenue within Colombia Medellín, driven by strategic menu innovation and community engagement initiatives. As</w:t>
      </w:r>
      <w:r>
        <w:t xml:space="preserve"> </w:t>
      </w:r>
      <w:r>
        <w:rPr>
          <w:iCs/>
          <w:i/>
        </w:rPr>
        <w:t xml:space="preserve">Chef</w:t>
      </w:r>
      <w:r>
        <w:t xml:space="preserve"> </w:t>
      </w:r>
      <w:r>
        <w:t xml:space="preserve">continues to solidify its position as a leader in Colombian hospitality, this document underscores the critical role of Medellín's cultural and economic environment in shaping our success.</w:t>
      </w:r>
    </w:p>
    <w:bookmarkEnd w:id="20"/>
    <w:bookmarkStart w:id="21" w:name="X285a8fd621b79e385364b13db1d6bfb497b9eb6"/>
    <w:p>
      <w:pPr>
        <w:pStyle w:val="Heading2"/>
      </w:pPr>
      <w:r>
        <w:t xml:space="preserve">Market Context: Why Colombia Medellín Matters for Chef</w:t>
      </w:r>
    </w:p>
    <w:p>
      <w:pPr>
        <w:pStyle w:val="FirstParagraph"/>
      </w:pPr>
      <w:r>
        <w:t xml:space="preserve">Colombia Medellín represents far more than a geographic location—it is a catalyst for culinary innovation. Known globally as the "City of Eternal Spring," Medellín boasts a thriving tourism sector (surpassing 1.8 million visitors in 2023), an emerging entrepreneurial ecosystem, and a deeply rooted appreciation for authentic Colombian cuisine.</w:t>
      </w:r>
      <w:r>
        <w:t xml:space="preserve"> </w:t>
      </w:r>
      <w:r>
        <w:rPr>
          <w:iCs/>
          <w:i/>
        </w:rPr>
        <w:t xml:space="preserve">Chef</w:t>
      </w:r>
      <w:r>
        <w:t xml:space="preserve"> </w:t>
      </w:r>
      <w:r>
        <w:t xml:space="preserve">leverages this unique context by fusing traditional Colombian flavors with modern culinary techniques, creating dishes that resonate deeply with both locals and international guests. The city's recent investments in cultural infrastructure—such as the Parque Arví gastronomy initiatives and ECOLOJAR tourism corridors—have amplified Medellín’s appeal, directly benefiting</w:t>
      </w:r>
      <w:r>
        <w:t xml:space="preserve"> </w:t>
      </w:r>
      <w:r>
        <w:rPr>
          <w:iCs/>
          <w:i/>
        </w:rPr>
        <w:t xml:space="preserve">Chef</w:t>
      </w:r>
      <w:r>
        <w:t xml:space="preserve">'s visibility and customer base. Our sales data confirms that 68% of new customers in Medellín are drawn by our authentic Colombian culinary experience, a testament to the power of local relevance.</w:t>
      </w:r>
    </w:p>
    <w:bookmarkEnd w:id="21"/>
    <w:bookmarkStart w:id="22" w:name="Xd99c734dc27a71c607fdecdb028ed5bb1c4c07a"/>
    <w:p>
      <w:pPr>
        <w:pStyle w:val="Heading2"/>
      </w:pPr>
      <w:r>
        <w:t xml:space="preserve">Sales Performance Breakdown: Chef in Colombia Medellín</w:t>
      </w:r>
    </w:p>
    <w:p>
      <w:pPr>
        <w:pStyle w:val="FirstParagraph"/>
      </w:pPr>
      <w:r>
        <w:rPr>
          <w:iCs/>
          <w:i/>
        </w:rPr>
        <w:t xml:space="preserve">Chef</w:t>
      </w:r>
      <w:r>
        <w:t xml:space="preserve">'s Q3 2023 sales performance in Colombia Medellín reflects strategic execution. Key metrics include:</w:t>
      </w:r>
    </w:p>
    <w:p>
      <w:pPr>
        <w:numPr>
          <w:ilvl w:val="0"/>
          <w:numId w:val="1001"/>
        </w:numPr>
        <w:pStyle w:val="Compact"/>
      </w:pPr>
      <w:r>
        <w:rPr>
          <w:bCs/>
          <w:b/>
        </w:rPr>
        <w:t xml:space="preserve">Total Revenue:</w:t>
      </w:r>
      <w:r>
        <w:t xml:space="preserve"> </w:t>
      </w:r>
      <w:r>
        <w:t xml:space="preserve">$487,500 (15.7% YoY growth vs. Q3 2022)</w:t>
      </w:r>
    </w:p>
    <w:p>
      <w:pPr>
        <w:numPr>
          <w:ilvl w:val="0"/>
          <w:numId w:val="1001"/>
        </w:numPr>
        <w:pStyle w:val="Compact"/>
      </w:pPr>
      <w:r>
        <w:rPr>
          <w:bCs/>
          <w:b/>
        </w:rPr>
        <w:t xml:space="preserve">Foot Traffic:</w:t>
      </w:r>
      <w:r>
        <w:t xml:space="preserve"> </w:t>
      </w:r>
      <w:r>
        <w:t xml:space="preserve">14,320 customers (+19.2% YoY), with Medellín accounting for 76% of all regional visits</w:t>
      </w:r>
    </w:p>
    <w:p>
      <w:pPr>
        <w:numPr>
          <w:ilvl w:val="0"/>
          <w:numId w:val="1001"/>
        </w:numPr>
        <w:pStyle w:val="Compact"/>
      </w:pPr>
      <w:r>
        <w:rPr>
          <w:bCs/>
          <w:b/>
        </w:rPr>
        <w:t xml:space="preserve">Average Check Size:</w:t>
      </w:r>
      <w:r>
        <w:t xml:space="preserve"> </w:t>
      </w:r>
      <w:r>
        <w:t xml:space="preserve">$38.50 (driven by premium menu items like "Bandeja Paisa Modernizada")</w:t>
      </w:r>
    </w:p>
    <w:p>
      <w:pPr>
        <w:numPr>
          <w:ilvl w:val="0"/>
          <w:numId w:val="1001"/>
        </w:numPr>
        <w:pStyle w:val="Compact"/>
      </w:pPr>
      <w:r>
        <w:rPr>
          <w:bCs/>
          <w:b/>
        </w:rPr>
        <w:t xml:space="preserve">Digital Orders:</w:t>
      </w:r>
      <w:r>
        <w:t xml:space="preserve"> </w:t>
      </w:r>
      <w:r>
        <w:t xml:space="preserve">42% of total sales (up from 35% in Q2), fueled by Medellín’s high smartphone penetration)</w:t>
      </w:r>
    </w:p>
    <w:p>
      <w:pPr>
        <w:pStyle w:val="FirstParagraph"/>
      </w:pPr>
      <w:r>
        <w:t xml:space="preserve">The standout performer was our "Medellín Heritage Menu," featuring elevated takes on local classics like</w:t>
      </w:r>
      <w:r>
        <w:t xml:space="preserve"> </w:t>
      </w:r>
      <w:r>
        <w:rPr>
          <w:iCs/>
          <w:i/>
        </w:rPr>
        <w:t xml:space="preserve">arepa de huevo</w:t>
      </w:r>
      <w:r>
        <w:t xml:space="preserve"> </w:t>
      </w:r>
      <w:r>
        <w:t xml:space="preserve">and</w:t>
      </w:r>
      <w:r>
        <w:t xml:space="preserve"> </w:t>
      </w:r>
      <w:r>
        <w:rPr>
          <w:iCs/>
          <w:i/>
        </w:rPr>
        <w:t xml:space="preserve">changua</w:t>
      </w:r>
      <w:r>
        <w:t xml:space="preserve">. This initiative generated 32% of total revenue in Q3, with social media engagement (particularly on Instagram) driving significant foot traffic. Notably, 61% of these customers were Medellín residents aged 25-44—a demographic known for their strong spending power and cultural pride.</w:t>
      </w:r>
    </w:p>
    <w:bookmarkEnd w:id="22"/>
    <w:bookmarkStart w:id="23" w:name="X4ba4dc9a4beb4b26e95418ab0413864fd3d7461"/>
    <w:p>
      <w:pPr>
        <w:pStyle w:val="Heading2"/>
      </w:pPr>
      <w:r>
        <w:t xml:space="preserve">Challenges &amp; Opportunities in Colombia Medellín</w:t>
      </w:r>
    </w:p>
    <w:p>
      <w:pPr>
        <w:pStyle w:val="FirstParagraph"/>
      </w:pPr>
      <w:r>
        <w:t xml:space="preserve">Despite growth, strategic challenges persist in the Colombia Medellín market. Rising operational costs (fuel, ingredients) pressured margins by 3.5%, though</w:t>
      </w:r>
      <w:r>
        <w:t xml:space="preserve"> </w:t>
      </w:r>
      <w:r>
        <w:rPr>
          <w:iCs/>
          <w:i/>
        </w:rPr>
        <w:t xml:space="preserve">Chef</w:t>
      </w:r>
      <w:r>
        <w:t xml:space="preserve">'s local sourcing partnerships (e.g., with farmers from Aburrá Valley cooperatives) mitigated this impact. Another challenge was seasonal tourism fluctuations; peak periods like "Carnaval de Medellín" drove 28% higher sales than off-season, revealing a need for more consistent year-round engagement.</w:t>
      </w:r>
    </w:p>
    <w:p>
      <w:pPr>
        <w:pStyle w:val="BodyText"/>
      </w:pPr>
      <w:r>
        <w:t xml:space="preserve">Opportunities are abundant. Medellín’s growing expatriate community (over 12,000 new residents in 2023) presents a target market for premium dining experiences. Additionally, the city's "Green Corridor" sustainability projects align perfectly with</w:t>
      </w:r>
      <w:r>
        <w:t xml:space="preserve"> </w:t>
      </w:r>
      <w:r>
        <w:rPr>
          <w:iCs/>
          <w:i/>
        </w:rPr>
        <w:t xml:space="preserve">Chef</w:t>
      </w:r>
      <w:r>
        <w:t xml:space="preserve">'s zero-waste kitchen ethos—offering a unique branding angle. A key opportunity identified in this Sales Report is expanding into corporate catering for Medellín's booming tech sector (e.g., Rappi, Coopeuch), where 47% of businesses expressed interest in</w:t>
      </w:r>
      <w:r>
        <w:t xml:space="preserve"> </w:t>
      </w:r>
      <w:r>
        <w:rPr>
          <w:iCs/>
          <w:i/>
        </w:rPr>
        <w:t xml:space="preserve">Chef</w:t>
      </w:r>
      <w:r>
        <w:t xml:space="preserve">'s services.</w:t>
      </w:r>
    </w:p>
    <w:bookmarkEnd w:id="23"/>
    <w:bookmarkStart w:id="24" w:name="X383111d98c251a3fda7c1d45085bc9d51b8c2c7"/>
    <w:p>
      <w:pPr>
        <w:pStyle w:val="Heading2"/>
      </w:pPr>
      <w:r>
        <w:t xml:space="preserve">Strategic Recommendations for Chef’s Colombia Medellín Expansion</w:t>
      </w:r>
    </w:p>
    <w:p>
      <w:pPr>
        <w:pStyle w:val="FirstParagraph"/>
      </w:pPr>
      <w:r>
        <w:t xml:space="preserve">Based on this Sales Report, we recommend three actions to further capitalize on Colombia Medellín’s potential:</w:t>
      </w:r>
    </w:p>
    <w:p>
      <w:pPr>
        <w:numPr>
          <w:ilvl w:val="0"/>
          <w:numId w:val="1002"/>
        </w:numPr>
        <w:pStyle w:val="Compact"/>
      </w:pPr>
      <w:r>
        <w:rPr>
          <w:bCs/>
          <w:b/>
        </w:rPr>
        <w:t xml:space="preserve">Launch "Medellín Eats" Subscription Box:</w:t>
      </w:r>
      <w:r>
        <w:t xml:space="preserve"> </w:t>
      </w:r>
      <w:r>
        <w:t xml:space="preserve">Curate quarterly boxes featuring locally sourced ingredients and recipes inspired by neighborhood street food (e.g., El Poblado, Comuna 13). This taps into Medellín’s strong e-commerce culture and drives recurring revenue. Projected to generate $95,000 in Q4 2023.</w:t>
      </w:r>
    </w:p>
    <w:p>
      <w:pPr>
        <w:numPr>
          <w:ilvl w:val="0"/>
          <w:numId w:val="1002"/>
        </w:numPr>
        <w:pStyle w:val="Compact"/>
      </w:pPr>
      <w:r>
        <w:rPr>
          <w:bCs/>
          <w:b/>
        </w:rPr>
        <w:t xml:space="preserve">Collaborate with Medellín Cultural Institutions:</w:t>
      </w:r>
      <w:r>
        <w:t xml:space="preserve"> </w:t>
      </w:r>
      <w:r>
        <w:t xml:space="preserve">Partner with the</w:t>
      </w:r>
      <w:r>
        <w:t xml:space="preserve"> </w:t>
      </w:r>
      <w:r>
        <w:rPr>
          <w:iCs/>
          <w:i/>
        </w:rPr>
        <w:t xml:space="preserve">Museo de Antioquia</w:t>
      </w:r>
      <w:r>
        <w:t xml:space="preserve"> </w:t>
      </w:r>
      <w:r>
        <w:t xml:space="preserve">or</w:t>
      </w:r>
      <w:r>
        <w:t xml:space="preserve"> </w:t>
      </w:r>
      <w:r>
        <w:rPr>
          <w:iCs/>
          <w:i/>
        </w:rPr>
        <w:t xml:space="preserve">Casa de la Cultura</w:t>
      </w:r>
      <w:r>
        <w:t xml:space="preserve"> </w:t>
      </w:r>
      <w:r>
        <w:t xml:space="preserve">for "Dine &amp; Discover" events, linking dining to Medellín's heritage. This builds community trust and attracts high-value tourists.</w:t>
      </w:r>
    </w:p>
    <w:p>
      <w:pPr>
        <w:numPr>
          <w:ilvl w:val="0"/>
          <w:numId w:val="1002"/>
        </w:numPr>
        <w:pStyle w:val="Compact"/>
      </w:pPr>
      <w:r>
        <w:rPr>
          <w:bCs/>
          <w:b/>
        </w:rPr>
        <w:t xml:space="preserve">Optimize Digital Presence for Local SEO:</w:t>
      </w:r>
      <w:r>
        <w:t xml:space="preserve"> </w:t>
      </w:r>
      <w:r>
        <w:t xml:space="preserve">Target keywords like "best restaurant in Medellín" or "Colombian cuisine near Parque Arví" to capture organic traffic from tourists seeking authentic experiences. Our current digital footprint is underperforming—addressing this could increase online orders by 25%.</w:t>
      </w:r>
    </w:p>
    <w:bookmarkEnd w:id="24"/>
    <w:bookmarkStart w:id="25" w:name="X6b268f286a5c125bcf4ed98a2626f624f2abef2"/>
    <w:p>
      <w:pPr>
        <w:pStyle w:val="Heading2"/>
      </w:pPr>
      <w:r>
        <w:t xml:space="preserve">Conclusion: Chef’s Future in Colombia Medellín</w:t>
      </w:r>
    </w:p>
    <w:p>
      <w:pPr>
        <w:pStyle w:val="FirstParagraph"/>
      </w:pPr>
      <w:r>
        <w:t xml:space="preserve">The Sales Report for</w:t>
      </w:r>
      <w:r>
        <w:t xml:space="preserve"> </w:t>
      </w:r>
      <w:r>
        <w:rPr>
          <w:iCs/>
          <w:i/>
        </w:rPr>
        <w:t xml:space="preserve">Chef</w:t>
      </w:r>
      <w:r>
        <w:t xml:space="preserve"> </w:t>
      </w:r>
      <w:r>
        <w:t xml:space="preserve">in Colombia Medellín unequivocally demonstrates that cultural authenticity and hyper-local strategy are non-negotiable for success. As the city continues to evolve as a global destination,</w:t>
      </w:r>
      <w:r>
        <w:t xml:space="preserve"> </w:t>
      </w:r>
      <w:r>
        <w:rPr>
          <w:iCs/>
          <w:i/>
        </w:rPr>
        <w:t xml:space="preserve">Chef</w:t>
      </w:r>
      <w:r>
        <w:t xml:space="preserve">'s commitment to celebrating Medellín’s culinary soul—not just serving food—has positioned us for sustained growth. Our 15.7% revenue increase in Q3 is not merely a number; it reflects deeper engagement with Medellín's community and economy. Moving forward,</w:t>
      </w:r>
      <w:r>
        <w:t xml:space="preserve"> </w:t>
      </w:r>
      <w:r>
        <w:rPr>
          <w:iCs/>
          <w:i/>
        </w:rPr>
        <w:t xml:space="preserve">Chef</w:t>
      </w:r>
      <w:r>
        <w:t xml:space="preserve"> </w:t>
      </w:r>
      <w:r>
        <w:t xml:space="preserve">must deepen its roots in Colombia Medellín by investing in local talent, embracing sustainable practices aligned with the city’s "Green Corridor" goals, and creating experiences that make visitors feel they’ve truly discovered Medellín through its food.</w:t>
      </w:r>
    </w:p>
    <w:p>
      <w:pPr>
        <w:pStyle w:val="BodyText"/>
      </w:pPr>
      <w:r>
        <w:t xml:space="preserve">In closing, this report affirms that when a brand like</w:t>
      </w:r>
      <w:r>
        <w:t xml:space="preserve"> </w:t>
      </w:r>
      <w:r>
        <w:rPr>
          <w:iCs/>
          <w:i/>
        </w:rPr>
        <w:t xml:space="preserve">Chef</w:t>
      </w:r>
      <w:r>
        <w:t xml:space="preserve"> </w:t>
      </w:r>
      <w:r>
        <w:t xml:space="preserve">respects and integrates into the heartbeat of Colombia Medellín—its traditions, its people, and its aspirations—it doesn’t just sell meals. It becomes part of the city’s story. The data proves that in Medellín, where food is culture,</w:t>
      </w:r>
      <w:r>
        <w:t xml:space="preserve"> </w:t>
      </w:r>
      <w:r>
        <w:rPr>
          <w:iCs/>
          <w:i/>
        </w:rPr>
        <w:t xml:space="preserve">Chef</w:t>
      </w:r>
      <w:r>
        <w:t xml:space="preserve"> </w:t>
      </w:r>
      <w:r>
        <w:t xml:space="preserve">isn’t just a business; it’s a cultural partner driving shared success.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 Colombia Medellín Performance Analysis</dc:title>
  <dc:creator/>
  <cp:keywords/>
  <dcterms:created xsi:type="dcterms:W3CDTF">2026-07-21T06:09:39Z</dcterms:created>
  <dcterms:modified xsi:type="dcterms:W3CDTF">2026-07-21T06:09:39Z</dcterms:modified>
</cp:coreProperties>
</file>

<file path=docProps/custom.xml><?xml version="1.0" encoding="utf-8"?>
<Properties xmlns="http://schemas.openxmlformats.org/officeDocument/2006/custom-properties" xmlns:vt="http://schemas.openxmlformats.org/officeDocument/2006/docPropsVTypes"/>
</file>