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w:t>
      </w:r>
      <w:r>
        <w:t xml:space="preserve"> </w:t>
      </w:r>
      <w:r>
        <w:t xml:space="preserve">Egypt</w:t>
      </w:r>
      <w:r>
        <w:t xml:space="preserve"> </w:t>
      </w:r>
      <w:r>
        <w:t xml:space="preserve">Alexandria</w:t>
      </w:r>
    </w:p>
    <w:bookmarkStart w:id="28" w:name="X1b93046a914864c51e4b896247d650b3b1248a6"/>
    <w:p>
      <w:pPr>
        <w:pStyle w:val="Heading1"/>
      </w:pPr>
      <w:r>
        <w:t xml:space="preserve">SALES REPORT: CHEF RESTAURANT - ALEXANDRIA, EGYPT</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Q3 2023 (July 1 - September 30)</w:t>
      </w:r>
    </w:p>
    <w:p>
      <w:pPr>
        <w:pStyle w:val="BodyText"/>
      </w:pPr>
      <w:r>
        <w:t xml:space="preserve">This comprehensive Sales Report details the performance of Chef Restaurant, a premium culinary establishment located in the heart of Alexandria, Egypt. As a leading fine-dining destination on the Mediterranean coast, Chef has consistently delivered exceptional gastronomic experiences since its inception in 2019. This report analyzes sales metrics, market positioning, and strategic initiatives specific to our Alexandria operation.</w:t>
      </w:r>
    </w:p>
    <w:bookmarkStart w:id="20" w:name="executive-summary"/>
    <w:p>
      <w:pPr>
        <w:pStyle w:val="Heading2"/>
      </w:pPr>
      <w:r>
        <w:t xml:space="preserve">Executive Summary</w:t>
      </w:r>
    </w:p>
    <w:p>
      <w:pPr>
        <w:pStyle w:val="FirstParagraph"/>
      </w:pPr>
      <w:r>
        <w:t xml:space="preserve">The third quarter of 2023 marked a significant milestone for Chef Restaurant in Egypt Alexandria, with sales growth of 18.7% compared to Q2. Total revenue reached EGP 4,850,000 (approximately $175,650 USD), driven by strategic menu innovation and targeted marketing initiatives tailored to Alexandrian clientele. Notably, our signature "Mediterranean Chef's Tasting Menu" contributed 32% of total sales volume. This performance exceeds both the Alexandria hospitality sector average (9.2%) and our internal Q3 targets by 14%. The success underscores Chef's unique positioning as a cultural bridge between traditional Egyptian cuisine and contemporary European techniques within Egypt Alexandria's vibrant food scene.</w:t>
      </w:r>
    </w:p>
    <w:bookmarkEnd w:id="20"/>
    <w:bookmarkStart w:id="21"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 (EGP)</w:t>
            </w:r>
          </w:p>
        </w:tc>
        <w:tc>
          <w:tcPr/>
          <w:p>
            <w:pPr>
              <w:pStyle w:val="Compact"/>
              <w:jc w:val="left"/>
            </w:pPr>
            <w:r>
              <w:t xml:space="preserve">Q2 2023 (EGP)</w:t>
            </w:r>
          </w:p>
        </w:tc>
        <w:tc>
          <w:tcPr/>
          <w:p>
            <w:pPr>
              <w:pStyle w:val="Compact"/>
              <w:jc w:val="left"/>
            </w:pPr>
            <w:r>
              <w:t xml:space="preserve">% Change</w:t>
            </w:r>
          </w:p>
        </w:tc>
      </w:tr>
      <w:tr>
        <w:tc>
          <w:tcPr/>
          <w:p>
            <w:pPr>
              <w:pStyle w:val="Compact"/>
              <w:jc w:val="left"/>
            </w:pPr>
            <w:r>
              <w:t xml:space="preserve">Total Revenue</w:t>
            </w:r>
          </w:p>
        </w:tc>
        <w:tc>
          <w:tcPr/>
          <w:p>
            <w:pPr>
              <w:pStyle w:val="Compact"/>
              <w:jc w:val="left"/>
            </w:pPr>
            <w:r>
              <w:t xml:space="preserve">4,850,000</w:t>
            </w:r>
          </w:p>
        </w:tc>
        <w:tc>
          <w:tcPr/>
          <w:p>
            <w:pPr>
              <w:pStyle w:val="Compact"/>
              <w:jc w:val="left"/>
            </w:pPr>
            <w:r>
              <w:t xml:space="preserve">4,167,500</w:t>
            </w:r>
          </w:p>
        </w:tc>
        <w:tc>
          <w:tcPr/>
          <w:p>
            <w:pPr>
              <w:pStyle w:val="Compact"/>
              <w:jc w:val="left"/>
            </w:pPr>
            <w:r>
              <w:t xml:space="preserve">+18.7%</w:t>
            </w:r>
          </w:p>
        </w:tc>
      </w:tr>
      <w:tr>
        <w:tc>
          <w:tcPr/>
          <w:p>
            <w:pPr>
              <w:pStyle w:val="Compact"/>
              <w:jc w:val="left"/>
            </w:pPr>
            <w:r>
              <w:t xml:space="preserve">Average Check Size</w:t>
            </w:r>
          </w:p>
        </w:tc>
        <w:tc>
          <w:tcPr/>
          <w:p>
            <w:pPr>
              <w:pStyle w:val="Compact"/>
              <w:jc w:val="left"/>
            </w:pPr>
            <w:r>
              <w:t xml:space="preserve">2,285</w:t>
            </w:r>
          </w:p>
        </w:tc>
        <w:tc>
          <w:tcPr/>
          <w:p>
            <w:pPr>
              <w:pStyle w:val="Compact"/>
              <w:jc w:val="left"/>
            </w:pPr>
            <w:r>
              <w:t xml:space="preserve">2,043</w:t>
            </w:r>
          </w:p>
        </w:tc>
        <w:tc>
          <w:tcPr/>
          <w:p>
            <w:pPr>
              <w:pStyle w:val="Compact"/>
              <w:jc w:val="left"/>
            </w:pPr>
            <w:r>
              <w:t xml:space="preserve">+11.9%</w:t>
            </w:r>
          </w:p>
        </w:tc>
      </w:tr>
      <w:tr>
        <w:tc>
          <w:tcPr/>
          <w:p>
            <w:pPr>
              <w:pStyle w:val="Compact"/>
              <w:jc w:val="left"/>
            </w:pPr>
            <w:r>
              <w:t xml:space="preserve">Dine-In (65%)</w:t>
            </w:r>
          </w:p>
        </w:tc>
        <w:tc>
          <w:tcPr/>
          <w:p>
            <w:pPr>
              <w:pStyle w:val="Compact"/>
              <w:jc w:val="left"/>
            </w:pPr>
            <w:r>
              <w:t xml:space="preserve">3,152,500</w:t>
            </w:r>
          </w:p>
        </w:tc>
        <w:tc>
          <w:tcPr/>
          <w:p>
            <w:pPr>
              <w:pStyle w:val="Compact"/>
              <w:jc w:val="left"/>
            </w:pPr>
            <w:r>
              <w:t xml:space="preserve">2,788,000</w:t>
            </w:r>
          </w:p>
        </w:tc>
        <w:tc>
          <w:tcPr/>
          <w:p>
            <w:pPr>
              <w:pStyle w:val="Compact"/>
              <w:jc w:val="left"/>
            </w:pPr>
            <w:r>
              <w:t xml:space="preserve">+13.1%</w:t>
            </w:r>
          </w:p>
        </w:tc>
      </w:tr>
      <w:tr>
        <w:tc>
          <w:tcPr/>
          <w:p>
            <w:pPr>
              <w:pStyle w:val="Compact"/>
              <w:jc w:val="left"/>
            </w:pPr>
            <w:r>
              <w:t xml:space="preserve">Private Events (25%)</w:t>
            </w:r>
          </w:p>
        </w:tc>
        <w:tc>
          <w:tcPr/>
          <w:p>
            <w:pPr>
              <w:pStyle w:val="Compact"/>
              <w:jc w:val="left"/>
            </w:pPr>
            <w:r>
              <w:t xml:space="preserve">1,212,500</w:t>
            </w:r>
          </w:p>
        </w:tc>
        <w:tc>
          <w:tcPr/>
          <w:p>
            <w:pPr>
              <w:pStyle w:val="Compact"/>
              <w:jc w:val="left"/>
            </w:pPr>
            <w:r>
              <w:t xml:space="preserve">943,750</w:t>
            </w:r>
          </w:p>
        </w:tc>
        <w:tc>
          <w:tcPr/>
          <w:p>
            <w:pPr>
              <w:pStyle w:val="Compact"/>
              <w:jc w:val="left"/>
            </w:pPr>
            <w:r>
              <w:t xml:space="preserve">+28.5%</w:t>
            </w:r>
          </w:p>
        </w:tc>
      </w:tr>
      <w:tr>
        <w:tc>
          <w:tcPr/>
          <w:p>
            <w:pPr>
              <w:pStyle w:val="Compact"/>
              <w:jc w:val="left"/>
            </w:pPr>
            <w:r>
              <w:t xml:space="preserve">Catering (10%)</w:t>
            </w:r>
          </w:p>
        </w:tc>
        <w:tc>
          <w:tcPr/>
          <w:p>
            <w:pPr>
              <w:pStyle w:val="Compact"/>
              <w:jc w:val="left"/>
            </w:pPr>
            <w:r>
              <w:t xml:space="preserve">485,000</w:t>
            </w:r>
          </w:p>
        </w:tc>
        <w:tc>
          <w:tcPr/>
          <w:p>
            <w:pPr>
              <w:pStyle w:val="Compact"/>
              <w:jc w:val="left"/>
            </w:pPr>
            <w:r>
              <w:t xml:space="preserve">436,750</w:t>
            </w:r>
          </w:p>
        </w:tc>
        <w:tc>
          <w:tcPr/>
          <w:p>
            <w:pPr>
              <w:pStyle w:val="Compact"/>
              <w:jc w:val="left"/>
            </w:pPr>
            <w:r>
              <w:t xml:space="preserve">+11.3%</w:t>
            </w:r>
          </w:p>
        </w:tc>
      </w:tr>
    </w:tbl>
    <w:p>
      <w:pPr>
        <w:pStyle w:val="BodyText"/>
      </w:pPr>
      <w:r>
        <w:rPr>
          <w:bCs/>
          <w:b/>
        </w:rPr>
        <w:t xml:space="preserve">Strategic Insight:</w:t>
      </w:r>
      <w:r>
        <w:t xml:space="preserve"> </w:t>
      </w:r>
      <w:r>
        <w:t xml:space="preserve">The 28.5% surge in private events reflects Chef's successful positioning as Alexandria's preferred venue for high-end corporate gatherings and weddings, directly leveraging our reputation among Egypt Alexandria's elite business community and expatriate population.</w:t>
      </w:r>
    </w:p>
    <w:bookmarkEnd w:id="21"/>
    <w:bookmarkStart w:id="22" w:name="menu-performance-analysis"/>
    <w:p>
      <w:pPr>
        <w:pStyle w:val="Heading2"/>
      </w:pPr>
      <w:r>
        <w:t xml:space="preserve">Menu Performance Analysis</w:t>
      </w:r>
    </w:p>
    <w:p>
      <w:pPr>
        <w:pStyle w:val="FirstParagraph"/>
      </w:pPr>
      <w:r>
        <w:t xml:space="preserve">Our culinary innovation continues to drive sales growth. The "Alexandrian Heritage Menu" (featuring dishes like Sea Bass with Saffron-Tahini Sauce and Fattoush with Pomegranate Molasses) achieved 41% of total menu sales, demonstrating strong local resonance. Chef's signature seafood platter saw a 37% increase in orders due to our partnership with local fishermen in Alexandria's Marina district.</w:t>
      </w:r>
    </w:p>
    <w:p>
      <w:pPr>
        <w:pStyle w:val="BodyText"/>
      </w:pPr>
      <w:r>
        <w:t xml:space="preserve">Notable successes include:</w:t>
      </w:r>
    </w:p>
    <w:p>
      <w:pPr>
        <w:numPr>
          <w:ilvl w:val="0"/>
          <w:numId w:val="1001"/>
        </w:numPr>
        <w:pStyle w:val="Compact"/>
      </w:pPr>
      <w:r>
        <w:rPr>
          <w:bCs/>
          <w:b/>
        </w:rPr>
        <w:t xml:space="preserve">Sunset Terrace Dining Package:</w:t>
      </w:r>
      <w:r>
        <w:t xml:space="preserve"> </w:t>
      </w:r>
      <w:r>
        <w:t xml:space="preserve">Launched during the summer months, this premium offering (EGP 2,500/person) generated EGP 870,000 in Q3 – representing 17.9% of total revenue and a direct response to Alexandria's tourist season.</w:t>
      </w:r>
    </w:p>
    <w:p>
      <w:pPr>
        <w:numPr>
          <w:ilvl w:val="0"/>
          <w:numId w:val="1001"/>
        </w:numPr>
        <w:pStyle w:val="Compact"/>
      </w:pPr>
      <w:r>
        <w:rPr>
          <w:bCs/>
          <w:b/>
        </w:rPr>
        <w:t xml:space="preserve">Vegetarian &amp; Vegan Options:</w:t>
      </w:r>
      <w:r>
        <w:t xml:space="preserve"> </w:t>
      </w:r>
      <w:r>
        <w:t xml:space="preserve">Expanded menu section now accounts for 24% of orders (up from 15% in Q2), aligning with growing health-conscious trends among Egypt Alexandria residents.</w:t>
      </w:r>
    </w:p>
    <w:bookmarkEnd w:id="22"/>
    <w:bookmarkStart w:id="23" w:name="market-positioning-in-egypt-alexandria"/>
    <w:p>
      <w:pPr>
        <w:pStyle w:val="Heading2"/>
      </w:pPr>
      <w:r>
        <w:t xml:space="preserve">Market Positioning in Egypt Alexandria</w:t>
      </w:r>
    </w:p>
    <w:p>
      <w:pPr>
        <w:pStyle w:val="FirstParagraph"/>
      </w:pPr>
      <w:r>
        <w:t xml:space="preserve">Chef Restaurant maintains its premium positioning within Egypt Alexandria's competitive dining landscape. While competitors average check sizes of EGP 1,500-1,800, Chef consistently commands higher margins through strategic pricing and perceived value. Our location on the Corniche – offering panoramic Mediterranean views – remains a critical differentiator in Alexandria's tourism-driven market.</w:t>
      </w:r>
    </w:p>
    <w:p>
      <w:pPr>
        <w:pStyle w:val="BodyText"/>
      </w:pPr>
      <w:r>
        <w:t xml:space="preserve">Customer surveys indicate that 89% of patrons specifically mentioned "the Chef's culinary expertise" as their primary reason for choosing our establishment, while 76% cited "authentic Egyptian ingredients sourced locally." This validates our core strategy of blending global techniques with Egypt Alexandria's rich gastronomic heritage.</w:t>
      </w:r>
    </w:p>
    <w:bookmarkEnd w:id="23"/>
    <w:bookmarkStart w:id="24" w:name="challenges-and-strategic-initiatives"/>
    <w:p>
      <w:pPr>
        <w:pStyle w:val="Heading2"/>
      </w:pPr>
      <w:r>
        <w:t xml:space="preserve">Challenges and Strategic Initiatives</w:t>
      </w:r>
    </w:p>
    <w:p>
      <w:pPr>
        <w:pStyle w:val="FirstParagraph"/>
      </w:pPr>
      <w:r>
        <w:t xml:space="preserve">Despite strong performance, two key challenges emerged in Egypt Alexandria:</w:t>
      </w:r>
    </w:p>
    <w:p>
      <w:pPr>
        <w:numPr>
          <w:ilvl w:val="0"/>
          <w:numId w:val="1002"/>
        </w:numPr>
        <w:pStyle w:val="Compact"/>
      </w:pPr>
      <w:r>
        <w:rPr>
          <w:bCs/>
          <w:b/>
        </w:rPr>
        <w:t xml:space="preserve">Rising Food Costs:</w:t>
      </w:r>
      <w:r>
        <w:t xml:space="preserve"> </w:t>
      </w:r>
      <w:r>
        <w:t xml:space="preserve">Inflation impacted seafood and specialty imports. Our solution: Direct partnerships with local suppliers (e.g., 30% of fish now sourced from Alexandria's fishing cooperative), reducing costs by 12% while supporting the local economy.</w:t>
      </w:r>
    </w:p>
    <w:p>
      <w:pPr>
        <w:numPr>
          <w:ilvl w:val="0"/>
          <w:numId w:val="1002"/>
        </w:numPr>
        <w:pStyle w:val="Compact"/>
      </w:pPr>
      <w:r>
        <w:rPr>
          <w:bCs/>
          <w:b/>
        </w:rPr>
        <w:t xml:space="preserve">Seasonality Fluctuations:</w:t>
      </w:r>
      <w:r>
        <w:t xml:space="preserve"> </w:t>
      </w:r>
      <w:r>
        <w:t xml:space="preserve">Traditional summer lull in tourism. Countermeasures included launching "Winter Chef Series" with warming dishes (e.g., Lamb Tagine with Preserved Lemons) and targeting corporate clients for off-peak bookings.</w:t>
      </w:r>
    </w:p>
    <w:bookmarkEnd w:id="24"/>
    <w:bookmarkStart w:id="25" w:name="marketing-successes-driving-sales"/>
    <w:p>
      <w:pPr>
        <w:pStyle w:val="Heading2"/>
      </w:pPr>
      <w:r>
        <w:t xml:space="preserve">Marketing Successes Driving Sales</w:t>
      </w:r>
    </w:p>
    <w:p>
      <w:pPr>
        <w:pStyle w:val="FirstParagraph"/>
      </w:pPr>
      <w:r>
        <w:t xml:space="preserve">Our localized marketing strategy significantly boosted sales in Egypt Alexandria:</w:t>
      </w:r>
    </w:p>
    <w:p>
      <w:pPr>
        <w:numPr>
          <w:ilvl w:val="0"/>
          <w:numId w:val="1003"/>
        </w:numPr>
        <w:pStyle w:val="Compact"/>
      </w:pPr>
      <w:r>
        <w:rPr>
          <w:bCs/>
          <w:b/>
        </w:rPr>
        <w:t xml:space="preserve">Social Media Campaigns:</w:t>
      </w:r>
      <w:r>
        <w:t xml:space="preserve"> </w:t>
      </w:r>
      <w:r>
        <w:t xml:space="preserve">"Chef's Alexandria Experience" Instagram series reached 850k local users, generating 1,200 new reservations (42% conversion rate).</w:t>
      </w:r>
    </w:p>
    <w:p>
      <w:pPr>
        <w:numPr>
          <w:ilvl w:val="0"/>
          <w:numId w:val="1003"/>
        </w:numPr>
        <w:pStyle w:val="Compact"/>
      </w:pPr>
      <w:r>
        <w:rPr>
          <w:bCs/>
          <w:b/>
        </w:rPr>
        <w:t xml:space="preserve">Local Partnerships:</w:t>
      </w:r>
      <w:r>
        <w:t xml:space="preserve"> </w:t>
      </w:r>
      <w:r>
        <w:t xml:space="preserve">Collaborations with Alexandria Hotel Association and cultural institutions like the Bibliotheca Alexandrina drove 18% of Q3 bookings.</w:t>
      </w:r>
    </w:p>
    <w:p>
      <w:pPr>
        <w:numPr>
          <w:ilvl w:val="0"/>
          <w:numId w:val="1003"/>
        </w:numPr>
        <w:pStyle w:val="Compact"/>
      </w:pPr>
      <w:r>
        <w:rPr>
          <w:bCs/>
          <w:b/>
        </w:rPr>
        <w:t xml:space="preserve">Loyalty Program:</w:t>
      </w:r>
      <w:r>
        <w:t xml:space="preserve"> </w:t>
      </w:r>
      <w:r>
        <w:t xml:space="preserve">"Chef Circle" members (5,200 active) drove 34% of repeat business with exclusive offers.</w:t>
      </w:r>
    </w:p>
    <w:bookmarkEnd w:id="25"/>
    <w:bookmarkStart w:id="26" w:name="financial-outlook-and-future-focus"/>
    <w:p>
      <w:pPr>
        <w:pStyle w:val="Heading2"/>
      </w:pPr>
      <w:r>
        <w:t xml:space="preserve">Financial Outlook and Future Focus</w:t>
      </w:r>
    </w:p>
    <w:p>
      <w:pPr>
        <w:pStyle w:val="FirstParagraph"/>
      </w:pPr>
      <w:r>
        <w:t xml:space="preserve">Chef Restaurant's profitability in Egypt Alexandria reached 31.7% in Q3 – exceeding the hospitality industry benchmark of 24%. This is directly attributable to our premium pricing strategy and operational efficiency, with food costs at 28.9% (below the sector average of 35%).</w:t>
      </w:r>
    </w:p>
    <w:p>
      <w:pPr>
        <w:pStyle w:val="BodyText"/>
      </w:pPr>
      <w:r>
        <w:rPr>
          <w:bCs/>
          <w:b/>
        </w:rPr>
        <w:t xml:space="preserve">Forward Strategy:</w:t>
      </w:r>
      <w:r>
        <w:t xml:space="preserve"> </w:t>
      </w:r>
      <w:r>
        <w:t xml:space="preserve">For Q4, Chef will launch "Alexandria Harvest Festival" featuring hyper-local ingredients from the Nile Delta region. This initiative targets Egypt Alexandria's growing appreciation for regional food heritage and aligns with our core brand promise of celebrating local culinary identity. We project a 22% sales increase during this campaign period.</w:t>
      </w:r>
    </w:p>
    <w:bookmarkEnd w:id="26"/>
    <w:bookmarkStart w:id="27" w:name="conclusion"/>
    <w:p>
      <w:pPr>
        <w:pStyle w:val="Heading2"/>
      </w:pPr>
      <w:r>
        <w:t xml:space="preserve">Conclusion</w:t>
      </w:r>
    </w:p>
    <w:p>
      <w:pPr>
        <w:pStyle w:val="FirstParagraph"/>
      </w:pPr>
      <w:r>
        <w:t xml:space="preserve">The Sales Report confirms Chef Restaurant's exceptional performance in Egypt Alexandria, demonstrating how authentic culinary excellence combined with strategic localization creates sustainable growth in competitive markets. Our ability to blend global sophistication with Egypt Alexandria's cultural essence has positioned Chef as a gastronomic landmark – not just a restaurant.</w:t>
      </w:r>
    </w:p>
    <w:p>
      <w:pPr>
        <w:pStyle w:val="BodyText"/>
      </w:pPr>
      <w:r>
        <w:t xml:space="preserve">As we move toward 2024, the Chef team remains committed to elevating the dining experience while deepening our roots in Alexandria's community. Every dish served embodies our pledge to excellence, ensuring that "Chef" remains synonymous with premium hospitality in Egypt Alexandria. The Q3 results validate our strategy: When a restaurant understands its city's soul – from its Mediterranean breeze to its culinary history – it doesn't just succeed; it becomes indispensable to the city itself.</w:t>
      </w:r>
    </w:p>
    <w:p>
      <w:pPr>
        <w:pStyle w:val="BodyText"/>
      </w:pPr>
      <w:r>
        <w:t xml:space="preserve">Chef Restaurant | 24 Corniche Street, Alexandria, Egypt | www.chefalexandria.com</w:t>
      </w:r>
    </w:p>
    <w:p>
      <w:pPr>
        <w:pStyle w:val="BodyText"/>
      </w:pPr>
      <w:r>
        <w:t xml:space="preserve">This Sales Report is confidential and intended solely for internal management use. Data reflects operations within Egypt Alexandria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 Egypt Alexandria</dc:title>
  <dc:creator/>
  <dc:language>en</dc:language>
  <cp:keywords/>
  <dcterms:created xsi:type="dcterms:W3CDTF">2026-07-21T07:54:55Z</dcterms:created>
  <dcterms:modified xsi:type="dcterms:W3CDTF">2026-07-21T07:54:55Z</dcterms:modified>
</cp:coreProperties>
</file>

<file path=docProps/custom.xml><?xml version="1.0" encoding="utf-8"?>
<Properties xmlns="http://schemas.openxmlformats.org/officeDocument/2006/custom-properties" xmlns:vt="http://schemas.openxmlformats.org/officeDocument/2006/docPropsVTypes"/>
</file>