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Chef's</w:t>
      </w:r>
      <w:r>
        <w:t xml:space="preserve"> </w:t>
      </w:r>
      <w:r>
        <w:t xml:space="preserve">Table</w:t>
      </w:r>
      <w:r>
        <w:t xml:space="preserve"> </w:t>
      </w:r>
      <w:r>
        <w:t xml:space="preserve">Restaurant</w:t>
      </w:r>
      <w:r>
        <w:t xml:space="preserve"> </w:t>
      </w:r>
      <w:r>
        <w:t xml:space="preserve">-</w:t>
      </w:r>
      <w:r>
        <w:t xml:space="preserve"> </w:t>
      </w:r>
      <w:r>
        <w:t xml:space="preserve">Frankfurt</w:t>
      </w:r>
      <w:r>
        <w:t xml:space="preserve"> </w:t>
      </w:r>
      <w:r>
        <w:t xml:space="preserve">Market</w:t>
      </w:r>
      <w:r>
        <w:t xml:space="preserve"> </w:t>
      </w:r>
      <w:r>
        <w:t xml:space="preserve">Analysis</w:t>
      </w:r>
    </w:p>
    <w:bookmarkStart w:id="27" w:name="Xfee0a6f5c086b4af902997b2b178961f4c78ece"/>
    <w:p>
      <w:pPr>
        <w:pStyle w:val="Heading1"/>
      </w:pPr>
      <w:r>
        <w:t xml:space="preserve">Sales Report: Strategic Performance Analysis of Chef's Table Restaurant in Germany Frankfurt (Q3 2024)</w:t>
      </w:r>
    </w:p>
    <w:bookmarkStart w:id="20" w:name="executive-summary"/>
    <w:p>
      <w:pPr>
        <w:pStyle w:val="Heading2"/>
      </w:pPr>
      <w:r>
        <w:t xml:space="preserve">Executive Summary</w:t>
      </w:r>
    </w:p>
    <w:p>
      <w:pPr>
        <w:pStyle w:val="FirstParagraph"/>
      </w:pPr>
      <w:r>
        <w:t xml:space="preserve">This Sales Report presents a comprehensive analysis of Chef's Table Restaurant, our premium fine-dining establishment operating in the heart of Frankfurt, Germany. The report details Q3 2024 performance metrics, market positioning within the competitive Frankfurt hospitality landscape, and strategic recommendations for sustained growth. As a cornerstone of our European portfolio, Chef's Table demonstrated exceptional resilience and expansion potential in Germany's most dynamic business hub. Our sales strategy has successfully leveraged Frankfurt's unique economic calendar, tourist influx, and evolving culinary preferences to achieve a 15.2% year-over-year revenue increase (€2.34M vs. €2.03M in Q3 2023), significantly outperforming the Frankfurt restaurant industry average of 8.7%. This report confirms Chef's strategic value as a high-margin brand within Germany's competitive gastronomy sector.</w:t>
      </w:r>
    </w:p>
    <w:bookmarkEnd w:id="20"/>
    <w:bookmarkStart w:id="21" w:name="X00864f35f5cbc6c5ac67d54caf4e0e862895186"/>
    <w:p>
      <w:pPr>
        <w:pStyle w:val="Heading2"/>
      </w:pPr>
      <w:r>
        <w:t xml:space="preserve">Market Context: Germany Frankfurt Dining Landscape</w:t>
      </w:r>
    </w:p>
    <w:p>
      <w:pPr>
        <w:pStyle w:val="FirstParagraph"/>
      </w:pPr>
      <w:r>
        <w:t xml:space="preserve">Frankfurt, as Germany's financial capital and Europe's premier business hub, presents a unique market for premium dining. The city hosts over 450 international corporations, attracts 14M+ annual tourists (including 3.8M business travelers), and boasts a high concentration of high-net-worth individuals with elevated culinary expectations. Competitors like Brauhaus Römer and Le Cordon Bleu Frankfurt primarily target mass-market dining or specialized French cuisine, leaving a strategic gap for an authentic, chef-driven experience – our core differentiator. Germany's 2024 hospitality trend analysis indicates a 31% rise in demand for "experiential dining" (vs. standard restaurant visits), directly aligning with Chef's Table's immersive tasting menu concept. The Q3 2024 Frankfurt Restaurant Association report confirms that establishments emphasizing chef-driven narratives achieved 27% higher table turnover and 41% better repeat customer rates than generic fine-dining venues.</w:t>
      </w:r>
    </w:p>
    <w:bookmarkEnd w:id="21"/>
    <w:bookmarkStart w:id="22" w:name="Xaa357c1d879a3dc5035eb508c52410b5f537315"/>
    <w:p>
      <w:pPr>
        <w:pStyle w:val="Heading2"/>
      </w:pPr>
      <w:r>
        <w:t xml:space="preserve">Sales Performance Breakdown: Germany Frankfurt Market</w:t>
      </w:r>
    </w:p>
    <w:p>
      <w:pPr>
        <w:pStyle w:val="FirstParagraph"/>
      </w:pPr>
      <w:r>
        <w:t xml:space="preserve">Our Frankfurt operation has become a revenue engine, contributing 38% of total European sales. Key performance indicators for Q3 2024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Revenue (€)</w:t>
            </w:r>
          </w:p>
        </w:tc>
        <w:tc>
          <w:tcPr/>
          <w:p>
            <w:pPr>
              <w:pStyle w:val="Compact"/>
              <w:jc w:val="left"/>
            </w:pPr>
            <w:r>
              <w:t xml:space="preserve">2,341,500</w:t>
            </w:r>
          </w:p>
        </w:tc>
        <w:tc>
          <w:tcPr/>
          <w:p>
            <w:pPr>
              <w:pStyle w:val="Compact"/>
              <w:jc w:val="left"/>
            </w:pPr>
            <w:r>
              <w:t xml:space="preserve">2,031,800</w:t>
            </w:r>
          </w:p>
        </w:tc>
        <w:tc>
          <w:tcPr/>
          <w:p>
            <w:pPr>
              <w:pStyle w:val="Compact"/>
              <w:jc w:val="left"/>
            </w:pPr>
            <w:r>
              <w:t xml:space="preserve">+15.2%</w:t>
            </w:r>
          </w:p>
        </w:tc>
      </w:tr>
      <w:tr>
        <w:tc>
          <w:tcPr/>
          <w:p>
            <w:pPr>
              <w:pStyle w:val="Compact"/>
              <w:jc w:val="left"/>
            </w:pPr>
            <w:r>
              <w:t xml:space="preserve">Average Check (€)</w:t>
            </w:r>
          </w:p>
        </w:tc>
        <w:tc>
          <w:tcPr/>
          <w:p>
            <w:pPr>
              <w:pStyle w:val="Compact"/>
              <w:jc w:val="left"/>
            </w:pPr>
            <w:r>
              <w:t xml:space="preserve">187.65</w:t>
            </w:r>
          </w:p>
        </w:tc>
        <w:tc>
          <w:tcPr/>
          <w:p>
            <w:pPr>
              <w:pStyle w:val="Compact"/>
              <w:jc w:val="left"/>
            </w:pPr>
            <w:r>
              <w:t xml:space="preserve">174.32</w:t>
            </w:r>
          </w:p>
        </w:tc>
        <w:tc>
          <w:tcPr/>
          <w:p>
            <w:pPr>
              <w:pStyle w:val="Compact"/>
              <w:jc w:val="left"/>
            </w:pPr>
            <w:r>
              <w:t xml:space="preserve">+7.6%</w:t>
            </w:r>
          </w:p>
        </w:tc>
      </w:tr>
      <w:tr>
        <w:tc>
          <w:tcPr/>
          <w:p>
            <w:pPr>
              <w:pStyle w:val="Compact"/>
              <w:jc w:val="left"/>
            </w:pPr>
            <w:r>
              <w:t xml:space="preserve">Table Turnover Rate</w:t>
            </w:r>
          </w:p>
        </w:tc>
        <w:tc>
          <w:tcPr/>
          <w:p>
            <w:pPr>
              <w:pStyle w:val="Compact"/>
              <w:jc w:val="left"/>
            </w:pPr>
            <w:r>
              <w:t xml:space="preserve">2.1x/night</w:t>
            </w:r>
          </w:p>
        </w:tc>
        <w:tc>
          <w:tcPr/>
          <w:p>
            <w:pPr>
              <w:pStyle w:val="Compact"/>
              <w:jc w:val="left"/>
            </w:pPr>
            <w:r>
              <w:t xml:space="preserve">1.8x/night</w:t>
            </w:r>
          </w:p>
        </w:tc>
        <w:tc>
          <w:tcPr/>
          <w:p>
            <w:pPr>
              <w:pStyle w:val="Compact"/>
              <w:jc w:val="left"/>
            </w:pPr>
            <w:r>
              <w:t xml:space="preserve">+16.7%</w:t>
            </w:r>
          </w:p>
        </w:tc>
      </w:tr>
      <w:tr>
        <w:tc>
          <w:tcPr/>
          <w:p>
            <w:pPr>
              <w:pStyle w:val="Compact"/>
              <w:jc w:val="left"/>
            </w:pPr>
            <w:r>
              <w:t xml:space="preserve">Repeat Customer Rate</w:t>
            </w:r>
          </w:p>
        </w:tc>
        <w:tc>
          <w:tcPr/>
          <w:p>
            <w:pPr>
              <w:pStyle w:val="Compact"/>
              <w:jc w:val="left"/>
            </w:pPr>
            <w:r>
              <w:t xml:space="preserve">43%35%+8 pts.</w:t>
            </w:r>
          </w:p>
        </w:tc>
        <w:tc>
          <w:tcPr/>
          <w:p>
            <w:pPr>
              <w:pStyle w:val="Compact"/>
            </w:pPr>
          </w:p>
        </w:tc>
        <w:tc>
          <w:tcPr/>
          <w:p>
            <w:pPr>
              <w:pStyle w:val="Compact"/>
            </w:pPr>
          </w:p>
        </w:tc>
      </w:tr>
      <w:tr>
        <w:tc>
          <w:tcPr/>
          <w:p>
            <w:pPr>
              <w:pStyle w:val="Compact"/>
              <w:jc w:val="left"/>
            </w:pPr>
            <w:r>
              <w:t xml:space="preserve">Gross Margin</w:t>
            </w:r>
          </w:p>
        </w:tc>
        <w:tc>
          <w:tcPr/>
          <w:p>
            <w:pPr>
              <w:pStyle w:val="Compact"/>
              <w:jc w:val="left"/>
            </w:pPr>
            <w:r>
              <w:t xml:space="preserve">72.4%69.8%+2.6 pts.</w:t>
            </w:r>
          </w:p>
        </w:tc>
        <w:tc>
          <w:tcPr/>
          <w:p>
            <w:pPr>
              <w:pStyle w:val="Compact"/>
            </w:pPr>
          </w:p>
        </w:tc>
        <w:tc>
          <w:tcPr/>
          <w:p>
            <w:pPr>
              <w:pStyle w:val="Compact"/>
            </w:pPr>
          </w:p>
        </w:tc>
      </w:tr>
    </w:tbl>
    <w:p>
      <w:pPr>
        <w:pStyle w:val="BodyText"/>
      </w:pPr>
      <w:r>
        <w:t xml:space="preserve">The exceptional performance is rooted in three Frankfurt-specific strategies: (1) Targeted partnerships with nearby corporate headquarters (complimentary tasting menus for executive meetings at Siemens, Deutsche Bank), (2) Seasonal promotions tied to Frankfurt events (e.g., "Frankfurt Book Fair Culinary Pairing" during the September festival), and (3) Hyper-local sourcing of German ingredients via our Frankfurt-based supplier network, reducing costs by 12% while enhancing authenticity. This localized approach directly addresses Germany's strong "regional cuisine" movement – a key trend driving premium restaurant sales across the country.</w:t>
      </w:r>
    </w:p>
    <w:bookmarkEnd w:id="22"/>
    <w:bookmarkStart w:id="23" w:name="customer-insights-brand-perception"/>
    <w:p>
      <w:pPr>
        <w:pStyle w:val="Heading2"/>
      </w:pPr>
      <w:r>
        <w:t xml:space="preserve">Customer Insights &amp; Brand Perception</w:t>
      </w:r>
    </w:p>
    <w:p>
      <w:pPr>
        <w:pStyle w:val="FirstParagraph"/>
      </w:pPr>
      <w:r>
        <w:t xml:space="preserve">German customer feedback (via post-dining surveys and TripAdvisor analysis) consistently highlights Chef as "the definitive Frankfurt dining experience." 89% of respondents specifically cited "Chef's authentic German-French fusion" as the primary reason for choosing us over competitors. In Germany, where trust in culinary expertise is paramount, our chef's credentials (three Michelin stars across European establishments) and transparency in sourcing ("All ingredients sourced within 150km of Frankfurt") have been critical differentiators. Notably, business travelers comprised 62% of our Q3 clientele – a segment we've strategically captured through Frankfurt's high corporate travel volume. The "Chef's Table" concept resonates perfectly with Germany's emphasis on craftsmanship and quality, translating directly to higher willingness to pay premium prices.</w:t>
      </w:r>
    </w:p>
    <w:bookmarkEnd w:id="23"/>
    <w:bookmarkStart w:id="24" w:name="competitive-analysis-in-germany"/>
    <w:p>
      <w:pPr>
        <w:pStyle w:val="Heading2"/>
      </w:pPr>
      <w:r>
        <w:t xml:space="preserve">Competitive Analysis in Germany</w:t>
      </w:r>
    </w:p>
    <w:p>
      <w:pPr>
        <w:pStyle w:val="FirstParagraph"/>
      </w:pPr>
      <w:r>
        <w:t xml:space="preserve">Frankfurt’s restaurant market features intense competition between traditional German establishments (e.g., Schlossgarten Restaurant) and global chains. However, our unique positioning as a chef-led destination has created clear separation. While competitors like Brauhaus Römer focus on historic ambiance with standard German fare (avg. check: €78), Chef's Table delivers curated culinary storytelling at €180+ average – a price point Frankfurt diners accept due to perceived value and exclusivity. The 2024 Germany Hospitality Survey confirms that chefs with international accolades command 34% higher perceived value in German markets than local chefs without such recognition. This validates our strategy of investing in Chef's global reputation as a brand asset for the Frankfurt location.</w:t>
      </w:r>
    </w:p>
    <w:bookmarkEnd w:id="24"/>
    <w:bookmarkStart w:id="25" w:name="challenges-strategic-opportunities"/>
    <w:p>
      <w:pPr>
        <w:pStyle w:val="Heading2"/>
      </w:pPr>
      <w:r>
        <w:t xml:space="preserve">Challenges &amp; Strategic Opportunities</w:t>
      </w:r>
    </w:p>
    <w:p>
      <w:pPr>
        <w:pStyle w:val="FirstParagraph"/>
      </w:pPr>
      <w:r>
        <w:t xml:space="preserve">Two primary challenges emerged: (1) Seasonal revenue dip during July (Frankfurt’s "quiet month" for tourism), and (2) Rising ingredient costs due to Germany's 7.3% inflation rate. To counter these, we implemented:</w:t>
      </w:r>
      <w:r>
        <w:t xml:space="preserve"> </w:t>
      </w:r>
      <w:r>
        <w:t xml:space="preserve">- A "Summer Chef's Retreat" program in July featuring regional German wine pairings, boosting July sales by 19%.</w:t>
      </w:r>
      <w:r>
        <w:t xml:space="preserve"> </w:t>
      </w:r>
      <w:r>
        <w:t xml:space="preserve">- Strategic long-term contracts with Frankfurt-based organic farms to stabilize supply costs.</w:t>
      </w:r>
    </w:p>
    <w:p>
      <w:pPr>
        <w:pStyle w:val="BodyText"/>
      </w:pPr>
      <w:r>
        <w:t xml:space="preserve">Opportunities for Q4 2024 include:</w:t>
      </w:r>
    </w:p>
    <w:p>
      <w:pPr>
        <w:numPr>
          <w:ilvl w:val="0"/>
          <w:numId w:val="1001"/>
        </w:numPr>
        <w:pStyle w:val="Compact"/>
      </w:pPr>
      <w:r>
        <w:t xml:space="preserve">Capitalizing on Frankfurt’s Christmas market season with "Winter Chef's Feast" menus (projected 25% sales uplift)</w:t>
      </w:r>
    </w:p>
    <w:p>
      <w:pPr>
        <w:numPr>
          <w:ilvl w:val="0"/>
          <w:numId w:val="1001"/>
        </w:numPr>
        <w:pStyle w:val="Compact"/>
      </w:pPr>
      <w:r>
        <w:t xml:space="preserve">Leveraging Frankfurt’s new airport rail link (Frankfurt Airport to Hauptbahnhof) to attract more international guests</w:t>
      </w:r>
    </w:p>
    <w:p>
      <w:pPr>
        <w:numPr>
          <w:ilvl w:val="0"/>
          <w:numId w:val="1001"/>
        </w:numPr>
        <w:pStyle w:val="Compact"/>
      </w:pPr>
      <w:r>
        <w:t xml:space="preserve">Developing a premium "Chef's Table Experience" subscription for local corporate clients</w:t>
      </w:r>
    </w:p>
    <w:bookmarkEnd w:id="25"/>
    <w:bookmarkStart w:id="26" w:name="X1d84435893b6acf4c67867be7ca19212f437a0a"/>
    <w:p>
      <w:pPr>
        <w:pStyle w:val="Heading2"/>
      </w:pPr>
      <w:r>
        <w:t xml:space="preserve">Conclusion: The Chef Brand as Germany Frankfurt Growth Engine</w:t>
      </w:r>
    </w:p>
    <w:p>
      <w:pPr>
        <w:pStyle w:val="FirstParagraph"/>
      </w:pPr>
      <w:r>
        <w:t xml:space="preserve">This Sales Report unequivocally positions Chef's Table Restaurant as a high-value asset within Germany, specifically in the Frankfurt market. Our data-driven approach to understanding German dining culture – emphasizing chef credibility, local sourcing, and experiential value – has translated into market-leading performance. The 15.2% YoY revenue growth significantly exceeds industry benchmarks and validates our investment in this location. Moving forward, we recommend doubling down on Frankfurt-specific initiatives: expanding our corporate partnership program with the 78 multinational HQs in the city center and launching a dedicated "Frankfurt Heritage" menu featuring historic regional dishes curated by Chef. In Germany, where dining is deeply cultural and quality is non-negotiable, Chef's Table isn't just a restaurant – it's a benchmark for culinary excellence that drives sustainable growth in Frankfurt. This report confirms that our brand strategy aligns perfectly with the economic and cultural realities of Germany's business capital, making the Frankfurt location indispensable to our European sales trajectory.</w:t>
      </w:r>
    </w:p>
    <w:p>
      <w:pPr>
        <w:pStyle w:val="BodyText"/>
      </w:pPr>
      <w:r>
        <w:rPr>
          <w:bCs/>
          <w:b/>
        </w:rPr>
        <w:t xml:space="preserve">Prepared For:</w:t>
      </w:r>
      <w:r>
        <w:t xml:space="preserve"> </w:t>
      </w:r>
      <w:r>
        <w:t xml:space="preserve">Global Executive Leadership Team</w:t>
      </w:r>
      <w:r>
        <w:br/>
      </w:r>
      <w:r>
        <w:rPr>
          <w:bCs/>
          <w:b/>
        </w:rPr>
        <w:t xml:space="preserve">Prepared By:</w:t>
      </w:r>
      <w:r>
        <w:t xml:space="preserve"> </w:t>
      </w:r>
      <w:r>
        <w:t xml:space="preserve">Sales Strategy Division, Europe Region</w:t>
      </w:r>
      <w:r>
        <w:br/>
      </w:r>
      <w:r>
        <w:rPr>
          <w:bCs/>
          <w:b/>
        </w:rPr>
        <w:t xml:space="preserve">Date:</w:t>
      </w:r>
      <w:r>
        <w:t xml:space="preserve"> </w:t>
      </w:r>
      <w:r>
        <w:t xml:space="preserve">October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Chef's Table Restaurant - Frankfurt Market Analysis</dc:title>
  <dc:creator/>
  <cp:keywords/>
  <dcterms:created xsi:type="dcterms:W3CDTF">2026-07-23T01:25:05Z</dcterms:created>
  <dcterms:modified xsi:type="dcterms:W3CDTF">2026-07-23T01:25:05Z</dcterms:modified>
</cp:coreProperties>
</file>

<file path=docProps/custom.xml><?xml version="1.0" encoding="utf-8"?>
<Properties xmlns="http://schemas.openxmlformats.org/officeDocument/2006/custom-properties" xmlns:vt="http://schemas.openxmlformats.org/officeDocument/2006/docPropsVTypes"/>
</file>