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Restaurant</w:t>
      </w:r>
      <w:r>
        <w:t xml:space="preserve"> </w:t>
      </w:r>
      <w:r>
        <w:t xml:space="preserve">Chain</w:t>
      </w:r>
      <w:r>
        <w:t xml:space="preserve"> </w:t>
      </w:r>
      <w:r>
        <w:t xml:space="preserve">in</w:t>
      </w:r>
      <w:r>
        <w:t xml:space="preserve"> </w:t>
      </w:r>
      <w:r>
        <w:t xml:space="preserve">Iran</w:t>
      </w:r>
      <w:r>
        <w:t xml:space="preserve"> </w:t>
      </w:r>
      <w:r>
        <w:t xml:space="preserve">Tehran</w:t>
      </w:r>
    </w:p>
    <w:bookmarkStart w:id="20" w:name="Xc7a68ca485a4bb656ba1be57d58fc1a5d9a7507"/>
    <w:p>
      <w:pPr>
        <w:pStyle w:val="Heading1"/>
      </w:pPr>
      <w:r>
        <w:t xml:space="preserve">Sales Report &amp; Strategic Analysis for Chef Restaurant Chain in Iran Tehran</w:t>
      </w:r>
    </w:p>
    <w:p>
      <w:pPr>
        <w:pStyle w:val="FirstParagraph"/>
      </w:pPr>
      <w:r>
        <w:t xml:space="preserve">Q3 2023 Performance Review &amp; Market Outlook | Prepared for Executive Leadership</w:t>
      </w:r>
    </w:p>
    <w:bookmarkEnd w:id="20"/>
    <w:bookmarkStart w:id="21" w:name="X9448886da919dda4e8fde4ac29874f6428eb9b0"/>
    <w:p>
      <w:pPr>
        <w:pStyle w:val="Heading2"/>
      </w:pPr>
      <w:r>
        <w:t xml:space="preserve">Executive Summary: Charting Growth in Tehran's Culinary Landscape</w:t>
      </w:r>
    </w:p>
    <w:p>
      <w:pPr>
        <w:pStyle w:val="FirstParagraph"/>
      </w:pPr>
      <w:r>
        <w:t xml:space="preserve">This comprehensive Sales Report details the operational performance of the globally acclaimed Chef restaurant chain within Iran Tehran's dynamic foodservice market. As the premier fine-dining establishment serving authentic Persian cuisine with international flair, Chef has demonstrated remarkable resilience and growth potential despite economic challenges unique to Iran Tehran. This report analyzes Q3 2023 sales data, customer engagement metrics, competitive positioning, and actionable strategies for sustained expansion across Tehran's premium dining segments.</w:t>
      </w:r>
    </w:p>
    <w:bookmarkEnd w:id="21"/>
    <w:bookmarkStart w:id="23" w:name="X6cbd0503fc84f4a2a75cee16d490675e7c6b044"/>
    <w:p>
      <w:pPr>
        <w:pStyle w:val="Heading2"/>
      </w:pPr>
      <w:r>
        <w:t xml:space="preserve">Current Sales Performance: Resilient Growth in Iran Tehran</w:t>
      </w:r>
    </w:p>
    <w:p>
      <w:pPr>
        <w:pStyle w:val="FirstParagraph"/>
      </w:pPr>
      <w:r>
        <w:t xml:space="preserve">Despite regional economic fluctuations affecting the hospitality sector in Iran Tehran, Chef has achieved a 15.7% year-over-year sales increase during Q3 2023. Total revenue reached $1.84 million USD (equivalent to approximately 30 billion IRR), with an average monthly growth rate of 4.2%. This outperforms the Tehran restaurant market's overall growth rate of 7.8% and significantly exceeds the national hospitality sector benchmark of 6.2%. The robust performance stems from three key drivers:</w:t>
      </w:r>
    </w:p>
    <w:p>
      <w:pPr>
        <w:numPr>
          <w:ilvl w:val="0"/>
          <w:numId w:val="1001"/>
        </w:numPr>
        <w:pStyle w:val="Compact"/>
      </w:pPr>
      <w:r>
        <w:rPr>
          <w:bCs/>
          <w:b/>
        </w:rPr>
        <w:t xml:space="preserve">High-Value Dinner Service</w:t>
      </w:r>
      <w:r>
        <w:t xml:space="preserve">: Contributing 58% of total revenue through premium tasting menus (average check: $45 USD) and exclusive chef's table experiences</w:t>
      </w:r>
    </w:p>
    <w:p>
      <w:pPr>
        <w:numPr>
          <w:ilvl w:val="0"/>
          <w:numId w:val="1001"/>
        </w:numPr>
        <w:pStyle w:val="Compact"/>
      </w:pPr>
      <w:r>
        <w:rPr>
          <w:bCs/>
          <w:b/>
        </w:rPr>
        <w:t xml:space="preserve">Corporate Catering Expansion</w:t>
      </w:r>
      <w:r>
        <w:t xml:space="preserve">: Securing contracts with 12 major Tehran-based corporations, generating $320,000 in Q3 (up 28% YoY)</w:t>
      </w:r>
    </w:p>
    <w:p>
      <w:pPr>
        <w:numPr>
          <w:ilvl w:val="0"/>
          <w:numId w:val="1001"/>
        </w:numPr>
        <w:pStyle w:val="Compact"/>
      </w:pPr>
      <w:r>
        <w:rPr>
          <w:bCs/>
          <w:b/>
        </w:rPr>
        <w:t xml:space="preserve">Local Cultural Events</w:t>
      </w:r>
      <w:r>
        <w:t xml:space="preserve">: Strategic partnerships during Nowruz celebrations and Tehran International Food Festival boosted weekend occupancy to 94%</w:t>
      </w:r>
    </w:p>
    <w:bookmarkStart w:id="22" w:name="Xaacfa4a2d114169e331a1ab316a500b78112232"/>
    <w:p>
      <w:pPr>
        <w:pStyle w:val="Heading3"/>
      </w:pPr>
      <w:r>
        <w:t xml:space="preserve">Key Performance Indicator Snapshot: Iran Tehran Market (Q3 2023)</w:t>
      </w:r>
    </w:p>
    <w:p>
      <w:pPr>
        <w:pStyle w:val="FirstParagraph"/>
      </w:pPr>
      <w:r>
        <w:rPr>
          <w:bCs/>
          <w:b/>
        </w:rPr>
        <w:t xml:space="preserve">Revenue Growth</w:t>
      </w:r>
      <w:r>
        <w:t xml:space="preserve">: +15.7% YoY |</w:t>
      </w:r>
      <w:r>
        <w:t xml:space="preserve"> </w:t>
      </w:r>
      <w:r>
        <w:rPr>
          <w:bCs/>
          <w:b/>
        </w:rPr>
        <w:t xml:space="preserve">Occupancy Rate</w:t>
      </w:r>
      <w:r>
        <w:t xml:space="preserve">: 89% (vs. city average of 68%) |</w:t>
      </w:r>
      <w:r>
        <w:t xml:space="preserve"> </w:t>
      </w:r>
      <w:r>
        <w:rPr>
          <w:bCs/>
          <w:b/>
        </w:rPr>
        <w:t xml:space="preserve">Avg. Check Value</w:t>
      </w:r>
      <w:r>
        <w:t xml:space="preserve">: $45 USD |</w:t>
      </w:r>
      <w:r>
        <w:t xml:space="preserve"> </w:t>
      </w:r>
      <w:r>
        <w:rPr>
          <w:bCs/>
          <w:b/>
        </w:rPr>
        <w:t xml:space="preserve">Customer Retention Rate</w:t>
      </w:r>
      <w:r>
        <w:t xml:space="preserve">: 67% (industry average: 42%)</w:t>
      </w:r>
      <w:r>
        <w:br/>
      </w:r>
      <w:r>
        <w:rPr>
          <w:iCs/>
          <w:i/>
        </w:rPr>
        <w:t xml:space="preserve">Chef's unique positioning in Tehran's luxury dining segment has created sustainable revenue streams despite currency fluctuations and import restrictions affecting the Iran Tehran food market.</w:t>
      </w:r>
    </w:p>
    <w:bookmarkEnd w:id="22"/>
    <w:bookmarkEnd w:id="23"/>
    <w:bookmarkStart w:id="24" w:name="Xf8022b6534ebec1c707af8b1927734512cc6695"/>
    <w:p>
      <w:pPr>
        <w:pStyle w:val="Heading2"/>
      </w:pPr>
      <w:r>
        <w:t xml:space="preserve">Market Analysis: Navigating Iran Tehran's Unique Dining Ecosystem</w:t>
      </w:r>
    </w:p>
    <w:p>
      <w:pPr>
        <w:pStyle w:val="FirstParagraph"/>
      </w:pPr>
      <w:r>
        <w:t xml:space="preserve">Tehran represents the most sophisticated culinary market in Iran, with over 18,000 restaurants serving diverse cuisines. However, Chef has carved a distinct niche by blending traditional Iranian ingredients (saffron from Kashan, pomegranate from Isfahan) with modern French-Asian techniques. Our Sales Report identifies three critical insights for Tehran's market dynamics:</w:t>
      </w:r>
    </w:p>
    <w:p>
      <w:pPr>
        <w:numPr>
          <w:ilvl w:val="0"/>
          <w:numId w:val="1002"/>
        </w:numPr>
        <w:pStyle w:val="Compact"/>
      </w:pPr>
      <w:r>
        <w:rPr>
          <w:bCs/>
          <w:b/>
        </w:rPr>
        <w:t xml:space="preserve">Cultural Resonance</w:t>
      </w:r>
      <w:r>
        <w:t xml:space="preserve">: 78% of repeat customers cited "authentic Persian culinary storytelling" as their primary reason for return visits, outperforming competitors' Westernized menus</w:t>
      </w:r>
    </w:p>
    <w:p>
      <w:pPr>
        <w:numPr>
          <w:ilvl w:val="0"/>
          <w:numId w:val="1002"/>
        </w:numPr>
        <w:pStyle w:val="Compact"/>
      </w:pPr>
      <w:r>
        <w:rPr>
          <w:bCs/>
          <w:b/>
        </w:rPr>
        <w:t xml:space="preserve">Price Sensitivity Shift</w:t>
      </w:r>
      <w:r>
        <w:t xml:space="preserve">: While cost-conscious dining remains prevalent, Tehran's growing middle class exhibits willingness to pay 25-35% premium for experiential dining (verified by our customer surveys)</w:t>
      </w:r>
    </w:p>
    <w:p>
      <w:pPr>
        <w:numPr>
          <w:ilvl w:val="0"/>
          <w:numId w:val="1002"/>
        </w:numPr>
        <w:pStyle w:val="Compact"/>
      </w:pPr>
      <w:r>
        <w:rPr>
          <w:bCs/>
          <w:b/>
        </w:rPr>
        <w:t xml:space="preserve">Competition Landscape</w:t>
      </w:r>
      <w:r>
        <w:t xml:space="preserve">: Only three other establishments in Iran Tehran offer comparable luxury positioning (The Persian Pavilion, Garden of Saffron, and Shahriar). Chef maintains 62% market share in the $35-$70 USD premium dining segment.</w:t>
      </w:r>
    </w:p>
    <w:bookmarkEnd w:id="24"/>
    <w:bookmarkStart w:id="25" w:name="X9affd1b37548c944a79c3af2f3713a7a8218750"/>
    <w:p>
      <w:pPr>
        <w:pStyle w:val="Heading2"/>
      </w:pPr>
      <w:r>
        <w:t xml:space="preserve">Challenges &amp; Strategic Responses: Operating in Iran Tehran</w:t>
      </w:r>
    </w:p>
    <w:p>
      <w:pPr>
        <w:pStyle w:val="FirstParagraph"/>
      </w:pPr>
      <w:r>
        <w:t xml:space="preserve">The Sales Report acknowledges significant operational hurdles specific to Iran Tehran that require targeted solutions:</w:t>
      </w:r>
    </w:p>
    <w:p>
      <w:pPr>
        <w:numPr>
          <w:ilvl w:val="0"/>
          <w:numId w:val="1003"/>
        </w:numPr>
        <w:pStyle w:val="Compact"/>
      </w:pPr>
      <w:r>
        <w:rPr>
          <w:bCs/>
          <w:b/>
        </w:rPr>
        <w:t xml:space="preserve">Supply Chain Constraints</w:t>
      </w:r>
      <w:r>
        <w:t xml:space="preserve">: Import restrictions on specialty ingredients (e.g., French truffle oil) necessitated 73% local sourcing. Chef's culinary team developed innovative substitutions using Iranian-grown alternatives, preserving dish integrity while cutting costs by 18%</w:t>
      </w:r>
    </w:p>
    <w:p>
      <w:pPr>
        <w:numPr>
          <w:ilvl w:val="0"/>
          <w:numId w:val="1003"/>
        </w:numPr>
        <w:pStyle w:val="Compact"/>
      </w:pPr>
      <w:r>
        <w:rPr>
          <w:bCs/>
          <w:b/>
        </w:rPr>
        <w:t xml:space="preserve">Currency Volatility</w:t>
      </w:r>
      <w:r>
        <w:t xml:space="preserve">: Fluctuating IRR/USD exchange rates required dynamic pricing strategy. We implemented a tiered menu system with dual currency pricing (IRR/USD), reducing customer confusion during Q3</w:t>
      </w:r>
    </w:p>
    <w:bookmarkEnd w:id="25"/>
    <w:bookmarkStart w:id="26" w:name="X36ee9ce55eb900e5cf7d3e2012fea16ae77971d"/>
    <w:p>
      <w:pPr>
        <w:pStyle w:val="Heading2"/>
      </w:pPr>
      <w:r>
        <w:t xml:space="preserve">Growth Opportunities: Expanding Chef's Footprint in Iran Tehran</w:t>
      </w:r>
    </w:p>
    <w:p>
      <w:pPr>
        <w:pStyle w:val="FirstParagraph"/>
      </w:pPr>
      <w:r>
        <w:t xml:space="preserve">This Sales Report identifies three high-potential expansion avenues specifically for Tehran's market:</w:t>
      </w:r>
    </w:p>
    <w:p>
      <w:pPr>
        <w:numPr>
          <w:ilvl w:val="0"/>
          <w:numId w:val="1004"/>
        </w:numPr>
        <w:pStyle w:val="Compact"/>
      </w:pPr>
      <w:r>
        <w:rPr>
          <w:bCs/>
          <w:b/>
        </w:rPr>
        <w:t xml:space="preserve">Neighborhood Outposts</w:t>
      </w:r>
      <w:r>
        <w:t xml:space="preserve">: Launching two concept stores in affluent areas (Velenjak and Shemiran) targeting residential demand, projected to generate $2.1M annual revenue by 2025</w:t>
      </w:r>
    </w:p>
    <w:p>
      <w:pPr>
        <w:numPr>
          <w:ilvl w:val="0"/>
          <w:numId w:val="1004"/>
        </w:numPr>
        <w:pStyle w:val="Compact"/>
      </w:pPr>
      <w:r>
        <w:rPr>
          <w:bCs/>
          <w:b/>
        </w:rPr>
        <w:t xml:space="preserve">Virtual Culinary Experiences</w:t>
      </w:r>
      <w:r>
        <w:t xml:space="preserve">: Developing "Chef at Home" meal kits for Tehran's growing e-commerce market, with pilot program achieving 43% pre-orders during Q3</w:t>
      </w:r>
    </w:p>
    <w:bookmarkEnd w:id="26"/>
    <w:bookmarkStart w:id="28" w:name="X477132399ce4de809fa4aa7933223a67fdce140"/>
    <w:p>
      <w:pPr>
        <w:pStyle w:val="Heading2"/>
      </w:pPr>
      <w:r>
        <w:t xml:space="preserve">Future Outlook: Sustainable Growth in Iran Tehran</w:t>
      </w:r>
    </w:p>
    <w:p>
      <w:pPr>
        <w:pStyle w:val="FirstParagraph"/>
      </w:pPr>
      <w:r>
        <w:t xml:space="preserve">The long-term trajectory for Chef in Iran Tehran remains exceptionally promising. Based on current momentum and market analysis, we project 18-22% annual revenue growth through 2025. Critical success factors include:</w:t>
      </w:r>
    </w:p>
    <w:p>
      <w:pPr>
        <w:numPr>
          <w:ilvl w:val="0"/>
          <w:numId w:val="1005"/>
        </w:numPr>
        <w:pStyle w:val="Compact"/>
      </w:pPr>
      <w:r>
        <w:t xml:space="preserve">Maintaining cultural authenticity while innovating (e.g., "Persian Fusion" menu featuring modern takes on Ash Reshteh)</w:t>
      </w:r>
    </w:p>
    <w:p>
      <w:pPr>
        <w:numPr>
          <w:ilvl w:val="0"/>
          <w:numId w:val="1005"/>
        </w:numPr>
        <w:pStyle w:val="Compact"/>
      </w:pPr>
      <w:r>
        <w:t xml:space="preserve">Deepening community engagement through Tehran-based chef apprenticeship programs with local culinary schools</w:t>
      </w:r>
    </w:p>
    <w:p>
      <w:pPr>
        <w:numPr>
          <w:ilvl w:val="0"/>
          <w:numId w:val="1005"/>
        </w:numPr>
        <w:pStyle w:val="Compact"/>
      </w:pPr>
      <w:r>
        <w:t xml:space="preserve">Expanding corporate dining partnerships across Tehran's growing tech sector (including Payam-e Noor University and Iran Tech Park clients)</w:t>
      </w:r>
    </w:p>
    <w:bookmarkStart w:id="27" w:name="X3087f2925380eec08845cf3e23321b118dabacd"/>
    <w:p>
      <w:pPr>
        <w:pStyle w:val="Heading3"/>
      </w:pPr>
      <w:r>
        <w:t xml:space="preserve">Strategic Recommendation: The Chef 2025 Tehran Expansion Framework</w:t>
      </w:r>
    </w:p>
    <w:p>
      <w:pPr>
        <w:pStyle w:val="FirstParagraph"/>
      </w:pPr>
      <w:r>
        <w:rPr>
          <w:iCs/>
          <w:i/>
        </w:rPr>
        <w:t xml:space="preserve">"Leverage our Q3 success in premium dining to establish Chef as the definitive symbol of Iranian gastronomic excellence. Prioritize cultural authenticity over global standardization while adapting to Tehran's unique economic realities. Allocate 15% of Q4 revenue toward developing an all-local ingredient supply chain, ensuring sustainable growth within Iran Tehran's regulatory environment."</w:t>
      </w:r>
      <w:r>
        <w:br/>
      </w:r>
      <w:r>
        <w:rPr>
          <w:bCs/>
          <w:b/>
        </w:rPr>
        <w:t xml:space="preserve">Implementation Timeline</w:t>
      </w:r>
      <w:r>
        <w:t xml:space="preserve">: Phase 1 (Q1 2024) - Neighborhood stores; Phase 2 (Q3 2024) - E-commerce platform launch; Phase 3 (Q1 2025) - Full supply chain localization.</w:t>
      </w:r>
    </w:p>
    <w:bookmarkEnd w:id="27"/>
    <w:bookmarkEnd w:id="28"/>
    <w:bookmarkStart w:id="29" w:name="Xc02ca623cc265ec332a4f702ee5abd524dd3695"/>
    <w:p>
      <w:pPr>
        <w:pStyle w:val="Heading2"/>
      </w:pPr>
      <w:r>
        <w:t xml:space="preserve">Conclusion: Chef's Position as Tehran's Culinary Anchor</w:t>
      </w:r>
    </w:p>
    <w:p>
      <w:pPr>
        <w:pStyle w:val="FirstParagraph"/>
      </w:pPr>
      <w:r>
        <w:t xml:space="preserve">This Sales Report unequivocally demonstrates Chef's leadership position within Iran Tehran's evolving premium dining market. By strategically navigating local economic conditions while delivering culturally resonant culinary experiences, we've transformed challenges into opportunities for growth. The consistent 15%+ annual revenue increase in Tehran underscores our model's viability and provides a blueprint for sustainable expansion across Iran. As the only restaurant chain in Iran Tehran successfully merging global culinary standards with authentic Persian hospitality, Chef is uniquely positioned to become the nation's most revered dining destination while generating significant economic impact within Tehran's hospitality ecosystem.</w:t>
      </w:r>
    </w:p>
    <w:p>
      <w:pPr>
        <w:pStyle w:val="BodyText"/>
      </w:pPr>
      <w:r>
        <w:t xml:space="preserve">Sales Report | Prepared for Executive Leadership | Chef Restaurant Chain | Iran Tehran Operations</w:t>
      </w:r>
    </w:p>
    <w:p>
      <w:pPr>
        <w:pStyle w:val="BodyText"/>
      </w:pPr>
      <w:r>
        <w:t xml:space="preserve">Page 1 of 1 • Confidential: Internal Use Only • Q3 2023 Performance Data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Restaurant Chain in Iran Tehran</dc:title>
  <dc:creator/>
  <dc:language>en</dc:language>
  <cp:keywords/>
  <dcterms:created xsi:type="dcterms:W3CDTF">2026-07-15T18:46:36Z</dcterms:created>
  <dcterms:modified xsi:type="dcterms:W3CDTF">2026-07-15T18:46:36Z</dcterms:modified>
</cp:coreProperties>
</file>

<file path=docProps/custom.xml><?xml version="1.0" encoding="utf-8"?>
<Properties xmlns="http://schemas.openxmlformats.org/officeDocument/2006/custom-properties" xmlns:vt="http://schemas.openxmlformats.org/officeDocument/2006/docPropsVTypes"/>
</file>